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3A18" w14:textId="77777777" w:rsidR="00B03962" w:rsidRDefault="00000000">
      <w:pPr>
        <w:jc w:val="center"/>
      </w:pPr>
      <w:r>
        <w:rPr>
          <w:b/>
          <w:color w:val="1F4E79"/>
          <w:sz w:val="52"/>
        </w:rPr>
        <w:t>NGC vs. PCGS</w:t>
      </w:r>
    </w:p>
    <w:p w14:paraId="0C505F06" w14:textId="77777777" w:rsidR="00B03962" w:rsidRDefault="00000000">
      <w:pPr>
        <w:jc w:val="center"/>
      </w:pPr>
      <w:r>
        <w:rPr>
          <w:b/>
          <w:sz w:val="36"/>
        </w:rPr>
        <w:t>A Population-Based Analysis of Grading Stringency for 1-Ounce Silver Libertads</w:t>
      </w:r>
    </w:p>
    <w:p w14:paraId="025A146B" w14:textId="77777777" w:rsidR="00B03962" w:rsidRDefault="00000000">
      <w:pPr>
        <w:jc w:val="center"/>
      </w:pPr>
      <w:r>
        <w:rPr>
          <w:i/>
          <w:sz w:val="22"/>
        </w:rPr>
        <w:t>Study Period: 1982-2025 | Data Run: June 7, 2026</w:t>
      </w:r>
    </w:p>
    <w:p w14:paraId="54CDF8EE" w14:textId="77777777" w:rsidR="00B03962" w:rsidRDefault="00B03962"/>
    <w:p w14:paraId="7CD394CE" w14:textId="77777777" w:rsidR="00B03962" w:rsidRDefault="00000000">
      <w:pPr>
        <w:pStyle w:val="Heading1"/>
      </w:pPr>
      <w:r>
        <w:t>Abstract</w:t>
      </w:r>
    </w:p>
    <w:p w14:paraId="5C00AB94" w14:textId="77777777" w:rsidR="00B03962" w:rsidRDefault="00000000" w:rsidP="00700919">
      <w:pPr>
        <w:jc w:val="both"/>
      </w:pPr>
      <w:r>
        <w:t>Few topics generate more debate among coin collectors than the question of grading stringency. Collectors frequently claim that one grading service is stricter than another, yet these claims are often based on anecdotal experience, individual submissions, or observations from a limited number of coins.</w:t>
      </w:r>
    </w:p>
    <w:p w14:paraId="20C339A3" w14:textId="77777777" w:rsidR="00B03962" w:rsidRDefault="00000000" w:rsidP="00700919">
      <w:pPr>
        <w:jc w:val="both"/>
      </w:pPr>
      <w:r>
        <w:t>This study evaluates grading behavior between NGC and PCGS using published population-report data for 1-ounce silver Libertads. The analysis covers the 1982-2025 period and separates Mint State and Proof issues. All qualifying varieties within a year were rolled into annual totals, and each year was compared across four independent stringency tests.</w:t>
      </w:r>
    </w:p>
    <w:p w14:paraId="7C86F921" w14:textId="77777777" w:rsidR="00B03962" w:rsidRDefault="00000000" w:rsidP="00700919">
      <w:pPr>
        <w:jc w:val="both"/>
      </w:pPr>
      <w:r>
        <w:t>The core finding is that there is no universal winner. PCGS appears more conservative in several elite-grade distribution tests, while NGC performs strongly in specific top-grade frequency and proof scarcity-adjusted tests. The result is more nuanced than the common collector narrative that one service is simply stricter or easier across the board.</w:t>
      </w:r>
    </w:p>
    <w:p w14:paraId="61105BCD" w14:textId="77777777" w:rsidR="00B03962" w:rsidRDefault="00000000">
      <w:pPr>
        <w:pStyle w:val="Heading1"/>
      </w:pPr>
      <w:r>
        <w:t>Introduction</w:t>
      </w:r>
    </w:p>
    <w:p w14:paraId="4B9EA834" w14:textId="77777777" w:rsidR="00B03962" w:rsidRDefault="00000000" w:rsidP="00700919">
      <w:pPr>
        <w:jc w:val="both"/>
      </w:pPr>
      <w:r>
        <w:t>Among collectors of Mexican Libertads, one of the most persistent debates concerns grading standards.</w:t>
      </w:r>
    </w:p>
    <w:p w14:paraId="20A7BFD7" w14:textId="77777777" w:rsidR="00B03962" w:rsidRDefault="00000000">
      <w:r>
        <w:t>Common claims include:</w:t>
      </w:r>
    </w:p>
    <w:p w14:paraId="5E7752A0" w14:textId="77777777" w:rsidR="00B03962" w:rsidRDefault="00000000">
      <w:pPr>
        <w:pStyle w:val="ListBullet"/>
      </w:pPr>
      <w:r>
        <w:t>PCGS gives out higher grades.</w:t>
      </w:r>
    </w:p>
    <w:p w14:paraId="22A9B4D2" w14:textId="77777777" w:rsidR="00B03962" w:rsidRDefault="00000000">
      <w:pPr>
        <w:pStyle w:val="ListBullet"/>
      </w:pPr>
      <w:r>
        <w:t>NGC is stricter on registry coins.</w:t>
      </w:r>
    </w:p>
    <w:p w14:paraId="638A96F5" w14:textId="77777777" w:rsidR="00B03962" w:rsidRDefault="00000000">
      <w:pPr>
        <w:pStyle w:val="ListBullet"/>
      </w:pPr>
      <w:r>
        <w:t>PCGS is easier on proofs.</w:t>
      </w:r>
    </w:p>
    <w:p w14:paraId="56CE1775" w14:textId="03A94C54" w:rsidR="00B03962" w:rsidRDefault="00000000" w:rsidP="00700919">
      <w:pPr>
        <w:jc w:val="both"/>
      </w:pPr>
      <w:r>
        <w:t xml:space="preserve">Despite the frequency of these claims, very little work has been done to evaluate them using the full population reports published by each grading service. The challenge is that grading stringency cannot be measured directly. Neither service publishes internal grading standards, reviewer consistency statistics, </w:t>
      </w:r>
      <w:r w:rsidR="00700919">
        <w:t xml:space="preserve">submission dates </w:t>
      </w:r>
      <w:r>
        <w:t>or resubmission histories.</w:t>
      </w:r>
    </w:p>
    <w:p w14:paraId="3B66D745" w14:textId="13E0852D" w:rsidR="00B03962" w:rsidRDefault="00000000" w:rsidP="00700919">
      <w:pPr>
        <w:jc w:val="both"/>
      </w:pPr>
      <w:r>
        <w:t xml:space="preserve">Instead, the most accessible evidence is the distribution of </w:t>
      </w:r>
      <w:r w:rsidR="00700919">
        <w:t xml:space="preserve">currently </w:t>
      </w:r>
      <w:r>
        <w:t>assigned grades. This study treats the published population reports as a statistical fingerprint of grading behavior. The central question is whether one service appears more conservative than the other when awarding top and elite grades across the entire 1-ounce silver Libertad series.</w:t>
      </w:r>
    </w:p>
    <w:p w14:paraId="735D3DE4" w14:textId="77777777" w:rsidR="00B03962" w:rsidRDefault="00000000">
      <w:pPr>
        <w:pStyle w:val="Heading1"/>
      </w:pPr>
      <w:r>
        <w:lastRenderedPageBreak/>
        <w:t>Data Collection and Scope</w:t>
      </w:r>
    </w:p>
    <w:p w14:paraId="5B1C4D23" w14:textId="77777777" w:rsidR="00B03962" w:rsidRDefault="00000000" w:rsidP="00700919">
      <w:pPr>
        <w:jc w:val="both"/>
      </w:pPr>
      <w:r>
        <w:t>The analysis used a custom Python-based NGC and PCGS population-report scraper. The project workflow downloaded population-report pages, parsed the raw HTML, extracted grade counts, standardized the output, and exported structured CSV files. Those CSVs were then processed into a consolidated Excel workbook containing annual rollups and comparison metrics.</w:t>
      </w:r>
    </w:p>
    <w:p w14:paraId="67C8148D" w14:textId="77777777" w:rsidR="00B03962" w:rsidRDefault="00000000">
      <w:r>
        <w:t>The study intentionally focused on a narrow and consistent universe of coins:</w:t>
      </w:r>
    </w:p>
    <w:p w14:paraId="01C94117" w14:textId="6D574FEE" w:rsidR="00B03962" w:rsidRDefault="00000000">
      <w:pPr>
        <w:pStyle w:val="ListBullet"/>
      </w:pPr>
      <w:r>
        <w:t xml:space="preserve">Included: 1-ounce silver Libertads, Mint State issues, Proof issues, </w:t>
      </w:r>
      <w:r w:rsidR="00700919">
        <w:t>from</w:t>
      </w:r>
      <w:r>
        <w:t xml:space="preserve"> the years 1982 through 2025.</w:t>
      </w:r>
    </w:p>
    <w:p w14:paraId="20D2B6FF" w14:textId="267C33DE" w:rsidR="00B03962" w:rsidRDefault="00000000">
      <w:pPr>
        <w:pStyle w:val="ListBullet"/>
      </w:pPr>
      <w:r>
        <w:t>Excluded: gold Libertads, fractional Libertads, non-Libertad Mexican issues, and non-qualifying categories.</w:t>
      </w:r>
    </w:p>
    <w:p w14:paraId="4EC30B7C" w14:textId="27C8E137" w:rsidR="00B03962" w:rsidRDefault="00000000" w:rsidP="00700919">
      <w:pPr>
        <w:jc w:val="both"/>
      </w:pPr>
      <w:r>
        <w:t xml:space="preserve">This narrow scope was used to avoid mixing materially different coin types or grading categories. The objective was not to evaluate every Libertad product, but to measure the relative grading behavior of NGC and PCGS on the </w:t>
      </w:r>
      <w:r w:rsidR="00700919">
        <w:t xml:space="preserve">most popular </w:t>
      </w:r>
      <w:r>
        <w:t>core 1-ounce silver series.</w:t>
      </w:r>
    </w:p>
    <w:p w14:paraId="2B9C8364" w14:textId="77777777" w:rsidR="00B03962" w:rsidRDefault="00000000">
      <w:pPr>
        <w:pStyle w:val="Heading1"/>
      </w:pPr>
      <w:r>
        <w:t>Annual Rollup Process</w:t>
      </w:r>
    </w:p>
    <w:p w14:paraId="2E696A06" w14:textId="77777777" w:rsidR="00B03962" w:rsidRDefault="00000000" w:rsidP="00700919">
      <w:pPr>
        <w:jc w:val="both"/>
      </w:pPr>
      <w:r>
        <w:t>Both NGC and PCGS population reports contain multiple entries within individual years. These may include standard issues, doubled dies, missing feather varieties, lettered-edge varieties, prooflike designations, and other service-recognized subtypes.</w:t>
      </w:r>
    </w:p>
    <w:p w14:paraId="1D1521BA" w14:textId="77777777" w:rsidR="00B03962" w:rsidRDefault="00000000" w:rsidP="00700919">
      <w:pPr>
        <w:jc w:val="both"/>
      </w:pPr>
      <w:r>
        <w:t>For this study, all qualifying entries within a year and category were rolled into a single annual record. This means that the analysis does not ask whether one specific variety was graded more strictly than another. Instead, it asks how each grading service treated the year as a whole.</w:t>
      </w:r>
    </w:p>
    <w:p w14:paraId="4EBBA33A" w14:textId="77777777" w:rsidR="00B03962" w:rsidRDefault="00000000" w:rsidP="00700919">
      <w:pPr>
        <w:jc w:val="both"/>
      </w:pPr>
      <w:r>
        <w:t>Each annual record contained the total population and grade counts from 60 through 70. The result was one annual Mint State record and one annual Proof record per service wherever data existed.</w:t>
      </w:r>
    </w:p>
    <w:p w14:paraId="0F71CCED" w14:textId="77777777" w:rsidR="00B03962" w:rsidRDefault="00000000">
      <w:pPr>
        <w:pStyle w:val="Heading1"/>
      </w:pPr>
      <w:r>
        <w:t>Methodology</w:t>
      </w:r>
    </w:p>
    <w:p w14:paraId="1BCF664F" w14:textId="77777777" w:rsidR="00B03962" w:rsidRDefault="00000000" w:rsidP="00700919">
      <w:pPr>
        <w:jc w:val="both"/>
      </w:pPr>
      <w:r>
        <w:t>The analysis uses four independent tests. Each test measures a different aspect of grading behavior. A service wins a test when it appears more conservative under that test’s definition.</w:t>
      </w:r>
    </w:p>
    <w:p w14:paraId="7E949FBD" w14:textId="77777777" w:rsidR="00B03962" w:rsidRDefault="00000000">
      <w:pPr>
        <w:pStyle w:val="Heading2"/>
      </w:pPr>
      <w:r>
        <w:t>Stage 1: Highest Grade Awarded</w:t>
      </w:r>
    </w:p>
    <w:p w14:paraId="26C11AF6" w14:textId="77777777" w:rsidR="00B03962" w:rsidRDefault="00000000" w:rsidP="00700919">
      <w:pPr>
        <w:jc w:val="both"/>
      </w:pPr>
      <w:r>
        <w:t>Stage 1 asks which service awarded the lower highest grade for a given year. If NGC topped out at MS69 while PCGS awarded MS70, NGC is considered stricter because it never reached the higher grade.</w:t>
      </w:r>
    </w:p>
    <w:p w14:paraId="5934083D" w14:textId="77777777" w:rsidR="00B03962" w:rsidRDefault="00000000" w:rsidP="00700919">
      <w:pPr>
        <w:jc w:val="both"/>
      </w:pPr>
      <w:r>
        <w:t>Under Stage 1: lower highest grade = stricter. Higher highest grade = more lenient.</w:t>
      </w:r>
    </w:p>
    <w:p w14:paraId="3C2CE0D4" w14:textId="77777777" w:rsidR="00B03962" w:rsidRDefault="00000000">
      <w:pPr>
        <w:pStyle w:val="Heading2"/>
      </w:pPr>
      <w:r>
        <w:t>Stage 2: Top Grade Frequency</w:t>
      </w:r>
    </w:p>
    <w:p w14:paraId="20BA0899" w14:textId="77777777" w:rsidR="00B03962" w:rsidRDefault="00000000" w:rsidP="000C17D3">
      <w:pPr>
        <w:jc w:val="both"/>
      </w:pPr>
      <w:r>
        <w:t>Stage 2 applies only when both services reached the same highest grade. In that case, the analysis compares how frequently the top grade was awarded.</w:t>
      </w:r>
    </w:p>
    <w:p w14:paraId="1BE8986C" w14:textId="77777777" w:rsidR="00B03962" w:rsidRDefault="00000000" w:rsidP="000C17D3">
      <w:pPr>
        <w:jc w:val="both"/>
      </w:pPr>
      <w:r>
        <w:t>For example, if both services reached MS69, but NGC awarded MS69 to 10% of its population while PCGS awarded MS69 to 2% of its population, PCGS is considered stricter. Under Stage 2: lower top-grade percentage = stricter.</w:t>
      </w:r>
    </w:p>
    <w:p w14:paraId="452C1B9C" w14:textId="77777777" w:rsidR="00B03962" w:rsidRDefault="00000000">
      <w:pPr>
        <w:pStyle w:val="Heading2"/>
      </w:pPr>
      <w:r>
        <w:lastRenderedPageBreak/>
        <w:t>Elite Test 1: 70 + 69 Rate</w:t>
      </w:r>
    </w:p>
    <w:p w14:paraId="482C083D" w14:textId="77777777" w:rsidR="00B03962" w:rsidRDefault="00000000" w:rsidP="000C17D3">
      <w:pPr>
        <w:jc w:val="both"/>
      </w:pPr>
      <w:r>
        <w:t>Elite Test 1 measures the combined share of grades 70 and 69 within the total annual population. This metric captures broader elite-grade behavior, especially in years where perfect 70s are scarce or nonexistent.</w:t>
      </w:r>
    </w:p>
    <w:p w14:paraId="5C44DA75" w14:textId="77777777" w:rsidR="00B03962" w:rsidRDefault="00000000">
      <w:r>
        <w:t>Under Elite Test 1: lower 70+69 percentage = stricter.</w:t>
      </w:r>
    </w:p>
    <w:p w14:paraId="587DB396" w14:textId="77777777" w:rsidR="00B03962" w:rsidRDefault="00000000">
      <w:pPr>
        <w:pStyle w:val="Heading2"/>
      </w:pPr>
      <w:r>
        <w:t>Elite Test 2: 70 + 69 + 68 Rate</w:t>
      </w:r>
    </w:p>
    <w:p w14:paraId="695F6FB6" w14:textId="77777777" w:rsidR="00B03962" w:rsidRDefault="00000000" w:rsidP="000C17D3">
      <w:pPr>
        <w:jc w:val="both"/>
      </w:pPr>
      <w:r>
        <w:t>Elite Test 2 expands the elite-grade pool by adding grade 68. This can be useful in older or more difficult dates where 70s and 69s are rare, but 68s still represent high-end registry-quality outcomes.</w:t>
      </w:r>
    </w:p>
    <w:p w14:paraId="0D4D7A61" w14:textId="77777777" w:rsidR="00B03962" w:rsidRDefault="00000000">
      <w:r>
        <w:t>Under Elite Test 2: lower 70+69+68 percentage = stricter.</w:t>
      </w:r>
    </w:p>
    <w:p w14:paraId="705C85DF" w14:textId="77777777" w:rsidR="00B03962" w:rsidRDefault="00000000">
      <w:pPr>
        <w:pStyle w:val="Heading1"/>
      </w:pPr>
      <w:r>
        <w:t>Scarcity-Adjusted Registry Weighting</w:t>
      </w:r>
    </w:p>
    <w:p w14:paraId="2888A36A" w14:textId="77777777" w:rsidR="00B03962" w:rsidRDefault="00000000" w:rsidP="000C17D3">
      <w:pPr>
        <w:jc w:val="both"/>
      </w:pPr>
      <w:r>
        <w:t>Simple win counts treat every year equally. That is useful, but it does not fully reflect how collectors often think about registry sets. A year with very few graded examples may matter more to serious collectors than a modern date with thousands of graded examples.</w:t>
      </w:r>
    </w:p>
    <w:p w14:paraId="1CF1E676" w14:textId="77777777" w:rsidR="00B03962" w:rsidRDefault="00000000" w:rsidP="000C17D3">
      <w:pPr>
        <w:jc w:val="both"/>
      </w:pPr>
      <w:r>
        <w:t>To account for this, the analysis applied a scarcity-adjusted weighting system. The formula was:</w:t>
      </w:r>
    </w:p>
    <w:p w14:paraId="07230540" w14:textId="77777777" w:rsidR="00B03962" w:rsidRDefault="00000000">
      <w:pPr>
        <w:jc w:val="center"/>
      </w:pPr>
      <w:r>
        <w:rPr>
          <w:b/>
          <w:sz w:val="24"/>
        </w:rPr>
        <w:t xml:space="preserve">Weight = 1 / </w:t>
      </w:r>
      <w:proofErr w:type="gramStart"/>
      <w:r>
        <w:rPr>
          <w:b/>
          <w:sz w:val="24"/>
        </w:rPr>
        <w:t>sqrt(</w:t>
      </w:r>
      <w:proofErr w:type="gramEnd"/>
      <w:r>
        <w:rPr>
          <w:b/>
          <w:sz w:val="24"/>
        </w:rPr>
        <w:t>Average Population)</w:t>
      </w:r>
    </w:p>
    <w:p w14:paraId="658D2D8F" w14:textId="77777777" w:rsidR="00B03962" w:rsidRDefault="00000000">
      <w:r>
        <w:t>Where Average Population = (NGC Population + PCGS Population) / 2.</w:t>
      </w:r>
    </w:p>
    <w:p w14:paraId="7419A176" w14:textId="77777777" w:rsidR="00B03962" w:rsidRDefault="00000000" w:rsidP="000C17D3">
      <w:pPr>
        <w:jc w:val="both"/>
      </w:pPr>
      <w:r>
        <w:t xml:space="preserve">This weighting gives more influence </w:t>
      </w:r>
      <w:proofErr w:type="gramStart"/>
      <w:r>
        <w:t>to</w:t>
      </w:r>
      <w:proofErr w:type="gramEnd"/>
      <w:r>
        <w:t xml:space="preserve"> low-population years while preventing very small populations from completely overwhelming the analysis. For example, a year with an average population of 50 receives a weight of approximately 0.141, while a year with an average population of 5,000 receives a weight of approximately 0.014. The scarcer year therefore carries about ten times more influence.</w:t>
      </w:r>
    </w:p>
    <w:p w14:paraId="165415E5" w14:textId="77777777" w:rsidR="00B03962" w:rsidRDefault="00000000" w:rsidP="000C17D3">
      <w:pPr>
        <w:jc w:val="both"/>
      </w:pPr>
      <w:r>
        <w:t>The resulting scarcity-adjusted score is best understood as a scarcity-adjusted win share. Ties are excluded from the decision share, and the weights of NGC-winning years are compared with the weights of PCGS-winning years.</w:t>
      </w:r>
    </w:p>
    <w:p w14:paraId="32D8A691" w14:textId="77777777" w:rsidR="00B03962" w:rsidRDefault="00000000">
      <w:pPr>
        <w:pStyle w:val="Heading1"/>
      </w:pPr>
      <w:r>
        <w:t>Results</w:t>
      </w:r>
    </w:p>
    <w:p w14:paraId="3C7AE13E" w14:textId="77777777" w:rsidR="00B03962" w:rsidRDefault="00000000" w:rsidP="000C17D3">
      <w:pPr>
        <w:jc w:val="both"/>
      </w:pPr>
      <w:r>
        <w:t>The results were calculated separately for Mint State and Proof issues. The raw winner counts show how many years each service won under each test. The scarcity-adjusted results show how those wins change when low-population years receive greater influence.</w:t>
      </w:r>
    </w:p>
    <w:p w14:paraId="511FD5D3" w14:textId="77777777" w:rsidR="00B03962" w:rsidRDefault="00000000">
      <w:r>
        <w:rPr>
          <w:b/>
        </w:rPr>
        <w:t>Table 1. Raw Winner Counts by Category and Test</w:t>
      </w:r>
    </w:p>
    <w:tbl>
      <w:tblPr>
        <w:tblStyle w:val="TableGrid"/>
        <w:tblW w:w="0" w:type="auto"/>
        <w:jc w:val="center"/>
        <w:tblLook w:val="04A0" w:firstRow="1" w:lastRow="0" w:firstColumn="1" w:lastColumn="0" w:noHBand="0" w:noVBand="1"/>
      </w:tblPr>
      <w:tblGrid>
        <w:gridCol w:w="1440"/>
        <w:gridCol w:w="1440"/>
        <w:gridCol w:w="1440"/>
        <w:gridCol w:w="1440"/>
        <w:gridCol w:w="1440"/>
        <w:gridCol w:w="1440"/>
        <w:gridCol w:w="1440"/>
      </w:tblGrid>
      <w:tr w:rsidR="00B03962" w14:paraId="50FD0B40" w14:textId="77777777">
        <w:trPr>
          <w:jc w:val="center"/>
        </w:trPr>
        <w:tc>
          <w:tcPr>
            <w:tcW w:w="1440" w:type="dxa"/>
            <w:shd w:val="clear" w:color="auto" w:fill="1F4E79"/>
            <w:vAlign w:val="center"/>
          </w:tcPr>
          <w:p w14:paraId="4D5AD25F" w14:textId="77777777" w:rsidR="00B03962" w:rsidRDefault="00000000">
            <w:pPr>
              <w:jc w:val="center"/>
            </w:pPr>
            <w:r>
              <w:rPr>
                <w:b/>
                <w:color w:val="FFFFFF"/>
                <w:sz w:val="18"/>
              </w:rPr>
              <w:t>Type</w:t>
            </w:r>
          </w:p>
        </w:tc>
        <w:tc>
          <w:tcPr>
            <w:tcW w:w="1440" w:type="dxa"/>
            <w:shd w:val="clear" w:color="auto" w:fill="1F4E79"/>
            <w:vAlign w:val="center"/>
          </w:tcPr>
          <w:p w14:paraId="304574BC" w14:textId="77777777" w:rsidR="00B03962" w:rsidRDefault="00000000">
            <w:pPr>
              <w:jc w:val="center"/>
            </w:pPr>
            <w:r>
              <w:rPr>
                <w:b/>
                <w:color w:val="FFFFFF"/>
                <w:sz w:val="18"/>
              </w:rPr>
              <w:t>Metric</w:t>
            </w:r>
          </w:p>
        </w:tc>
        <w:tc>
          <w:tcPr>
            <w:tcW w:w="1440" w:type="dxa"/>
            <w:shd w:val="clear" w:color="auto" w:fill="1F4E79"/>
            <w:vAlign w:val="center"/>
          </w:tcPr>
          <w:p w14:paraId="739C0B30" w14:textId="77777777" w:rsidR="00B03962" w:rsidRDefault="00000000">
            <w:pPr>
              <w:jc w:val="center"/>
            </w:pPr>
            <w:r>
              <w:rPr>
                <w:b/>
                <w:color w:val="FFFFFF"/>
                <w:sz w:val="18"/>
              </w:rPr>
              <w:t>NGC Wins</w:t>
            </w:r>
          </w:p>
        </w:tc>
        <w:tc>
          <w:tcPr>
            <w:tcW w:w="1440" w:type="dxa"/>
            <w:shd w:val="clear" w:color="auto" w:fill="1F4E79"/>
            <w:vAlign w:val="center"/>
          </w:tcPr>
          <w:p w14:paraId="446627CC" w14:textId="77777777" w:rsidR="00B03962" w:rsidRDefault="00000000">
            <w:pPr>
              <w:jc w:val="center"/>
            </w:pPr>
            <w:r>
              <w:rPr>
                <w:b/>
                <w:color w:val="FFFFFF"/>
                <w:sz w:val="18"/>
              </w:rPr>
              <w:t>PCGS Wins</w:t>
            </w:r>
          </w:p>
        </w:tc>
        <w:tc>
          <w:tcPr>
            <w:tcW w:w="1440" w:type="dxa"/>
            <w:shd w:val="clear" w:color="auto" w:fill="1F4E79"/>
            <w:vAlign w:val="center"/>
          </w:tcPr>
          <w:p w14:paraId="1E11A496" w14:textId="77777777" w:rsidR="00B03962" w:rsidRDefault="00000000">
            <w:pPr>
              <w:jc w:val="center"/>
            </w:pPr>
            <w:r>
              <w:rPr>
                <w:b/>
                <w:color w:val="FFFFFF"/>
                <w:sz w:val="18"/>
              </w:rPr>
              <w:t>Ties</w:t>
            </w:r>
          </w:p>
        </w:tc>
        <w:tc>
          <w:tcPr>
            <w:tcW w:w="1440" w:type="dxa"/>
            <w:shd w:val="clear" w:color="auto" w:fill="1F4E79"/>
            <w:vAlign w:val="center"/>
          </w:tcPr>
          <w:p w14:paraId="25E3E26A" w14:textId="77777777" w:rsidR="00B03962" w:rsidRDefault="00000000">
            <w:pPr>
              <w:jc w:val="center"/>
            </w:pPr>
            <w:r>
              <w:rPr>
                <w:b/>
                <w:color w:val="FFFFFF"/>
                <w:sz w:val="18"/>
              </w:rPr>
              <w:t>Not Applicable</w:t>
            </w:r>
          </w:p>
        </w:tc>
        <w:tc>
          <w:tcPr>
            <w:tcW w:w="1440" w:type="dxa"/>
            <w:shd w:val="clear" w:color="auto" w:fill="1F4E79"/>
            <w:vAlign w:val="center"/>
          </w:tcPr>
          <w:p w14:paraId="3271C0C5" w14:textId="77777777" w:rsidR="00B03962" w:rsidRDefault="00000000">
            <w:pPr>
              <w:jc w:val="center"/>
            </w:pPr>
            <w:r>
              <w:rPr>
                <w:b/>
                <w:color w:val="FFFFFF"/>
                <w:sz w:val="18"/>
              </w:rPr>
              <w:t>Winner</w:t>
            </w:r>
          </w:p>
        </w:tc>
      </w:tr>
      <w:tr w:rsidR="00B03962" w14:paraId="5AFD996D" w14:textId="77777777">
        <w:trPr>
          <w:jc w:val="center"/>
        </w:trPr>
        <w:tc>
          <w:tcPr>
            <w:tcW w:w="1440" w:type="dxa"/>
            <w:vAlign w:val="center"/>
          </w:tcPr>
          <w:p w14:paraId="16A56D3F" w14:textId="77777777" w:rsidR="00B03962" w:rsidRDefault="00000000">
            <w:pPr>
              <w:jc w:val="center"/>
            </w:pPr>
            <w:r>
              <w:rPr>
                <w:sz w:val="18"/>
              </w:rPr>
              <w:t>MS</w:t>
            </w:r>
          </w:p>
        </w:tc>
        <w:tc>
          <w:tcPr>
            <w:tcW w:w="1440" w:type="dxa"/>
            <w:vAlign w:val="center"/>
          </w:tcPr>
          <w:p w14:paraId="635CB8F1" w14:textId="77777777" w:rsidR="00B03962" w:rsidRDefault="00000000">
            <w:pPr>
              <w:jc w:val="center"/>
            </w:pPr>
            <w:r>
              <w:rPr>
                <w:sz w:val="18"/>
              </w:rPr>
              <w:t>Stage 1: Highest Grade Awarded</w:t>
            </w:r>
          </w:p>
        </w:tc>
        <w:tc>
          <w:tcPr>
            <w:tcW w:w="1440" w:type="dxa"/>
            <w:vAlign w:val="center"/>
          </w:tcPr>
          <w:p w14:paraId="772FD216" w14:textId="77777777" w:rsidR="00B03962" w:rsidRDefault="00000000">
            <w:pPr>
              <w:jc w:val="center"/>
            </w:pPr>
            <w:r>
              <w:rPr>
                <w:sz w:val="18"/>
              </w:rPr>
              <w:t>3</w:t>
            </w:r>
          </w:p>
        </w:tc>
        <w:tc>
          <w:tcPr>
            <w:tcW w:w="1440" w:type="dxa"/>
            <w:vAlign w:val="center"/>
          </w:tcPr>
          <w:p w14:paraId="009B7C59" w14:textId="77777777" w:rsidR="00B03962" w:rsidRDefault="00000000">
            <w:pPr>
              <w:jc w:val="center"/>
            </w:pPr>
            <w:r>
              <w:rPr>
                <w:sz w:val="18"/>
              </w:rPr>
              <w:t>8</w:t>
            </w:r>
          </w:p>
        </w:tc>
        <w:tc>
          <w:tcPr>
            <w:tcW w:w="1440" w:type="dxa"/>
            <w:vAlign w:val="center"/>
          </w:tcPr>
          <w:p w14:paraId="67FE1A74" w14:textId="77777777" w:rsidR="00B03962" w:rsidRDefault="00000000">
            <w:pPr>
              <w:jc w:val="center"/>
            </w:pPr>
            <w:r>
              <w:rPr>
                <w:sz w:val="18"/>
              </w:rPr>
              <w:t>33</w:t>
            </w:r>
          </w:p>
        </w:tc>
        <w:tc>
          <w:tcPr>
            <w:tcW w:w="1440" w:type="dxa"/>
            <w:vAlign w:val="center"/>
          </w:tcPr>
          <w:p w14:paraId="1A49AFDB" w14:textId="77777777" w:rsidR="00B03962" w:rsidRDefault="00000000">
            <w:pPr>
              <w:jc w:val="center"/>
            </w:pPr>
            <w:r>
              <w:rPr>
                <w:sz w:val="18"/>
              </w:rPr>
              <w:t>0</w:t>
            </w:r>
          </w:p>
        </w:tc>
        <w:tc>
          <w:tcPr>
            <w:tcW w:w="1440" w:type="dxa"/>
            <w:vAlign w:val="center"/>
          </w:tcPr>
          <w:p w14:paraId="17EC3017" w14:textId="77777777" w:rsidR="00B03962" w:rsidRDefault="00000000">
            <w:pPr>
              <w:jc w:val="center"/>
            </w:pPr>
            <w:r>
              <w:rPr>
                <w:sz w:val="18"/>
              </w:rPr>
              <w:t>PCGS</w:t>
            </w:r>
          </w:p>
        </w:tc>
      </w:tr>
      <w:tr w:rsidR="00B03962" w14:paraId="1169CDAE" w14:textId="77777777">
        <w:trPr>
          <w:jc w:val="center"/>
        </w:trPr>
        <w:tc>
          <w:tcPr>
            <w:tcW w:w="1440" w:type="dxa"/>
            <w:vAlign w:val="center"/>
          </w:tcPr>
          <w:p w14:paraId="4DF3D7D8" w14:textId="77777777" w:rsidR="00B03962" w:rsidRDefault="00000000">
            <w:pPr>
              <w:jc w:val="center"/>
            </w:pPr>
            <w:r>
              <w:rPr>
                <w:sz w:val="18"/>
              </w:rPr>
              <w:t>MS</w:t>
            </w:r>
          </w:p>
        </w:tc>
        <w:tc>
          <w:tcPr>
            <w:tcW w:w="1440" w:type="dxa"/>
            <w:vAlign w:val="center"/>
          </w:tcPr>
          <w:p w14:paraId="1EAC4CDE" w14:textId="77777777" w:rsidR="00B03962" w:rsidRDefault="00000000">
            <w:pPr>
              <w:jc w:val="center"/>
            </w:pPr>
            <w:r>
              <w:rPr>
                <w:sz w:val="18"/>
              </w:rPr>
              <w:t>Stage 2: Top Grade Frequency</w:t>
            </w:r>
          </w:p>
        </w:tc>
        <w:tc>
          <w:tcPr>
            <w:tcW w:w="1440" w:type="dxa"/>
            <w:vAlign w:val="center"/>
          </w:tcPr>
          <w:p w14:paraId="530D9A7E" w14:textId="77777777" w:rsidR="00B03962" w:rsidRDefault="00000000">
            <w:pPr>
              <w:jc w:val="center"/>
            </w:pPr>
            <w:r>
              <w:rPr>
                <w:sz w:val="18"/>
              </w:rPr>
              <w:t>20</w:t>
            </w:r>
          </w:p>
        </w:tc>
        <w:tc>
          <w:tcPr>
            <w:tcW w:w="1440" w:type="dxa"/>
            <w:vAlign w:val="center"/>
          </w:tcPr>
          <w:p w14:paraId="4BECB64E" w14:textId="77777777" w:rsidR="00B03962" w:rsidRDefault="00000000">
            <w:pPr>
              <w:jc w:val="center"/>
            </w:pPr>
            <w:r>
              <w:rPr>
                <w:sz w:val="18"/>
              </w:rPr>
              <w:t>13</w:t>
            </w:r>
          </w:p>
        </w:tc>
        <w:tc>
          <w:tcPr>
            <w:tcW w:w="1440" w:type="dxa"/>
            <w:vAlign w:val="center"/>
          </w:tcPr>
          <w:p w14:paraId="531AA2B4" w14:textId="77777777" w:rsidR="00B03962" w:rsidRDefault="00000000">
            <w:pPr>
              <w:jc w:val="center"/>
            </w:pPr>
            <w:r>
              <w:rPr>
                <w:sz w:val="18"/>
              </w:rPr>
              <w:t>0</w:t>
            </w:r>
          </w:p>
        </w:tc>
        <w:tc>
          <w:tcPr>
            <w:tcW w:w="1440" w:type="dxa"/>
            <w:vAlign w:val="center"/>
          </w:tcPr>
          <w:p w14:paraId="3FE0C176" w14:textId="77777777" w:rsidR="00B03962" w:rsidRDefault="00000000">
            <w:pPr>
              <w:jc w:val="center"/>
            </w:pPr>
            <w:r>
              <w:rPr>
                <w:sz w:val="18"/>
              </w:rPr>
              <w:t>11</w:t>
            </w:r>
          </w:p>
        </w:tc>
        <w:tc>
          <w:tcPr>
            <w:tcW w:w="1440" w:type="dxa"/>
            <w:vAlign w:val="center"/>
          </w:tcPr>
          <w:p w14:paraId="2C6A9F30" w14:textId="77777777" w:rsidR="00B03962" w:rsidRDefault="00000000">
            <w:pPr>
              <w:jc w:val="center"/>
            </w:pPr>
            <w:r>
              <w:rPr>
                <w:sz w:val="18"/>
              </w:rPr>
              <w:t>NGC</w:t>
            </w:r>
          </w:p>
        </w:tc>
      </w:tr>
      <w:tr w:rsidR="00B03962" w14:paraId="346938B2" w14:textId="77777777">
        <w:trPr>
          <w:jc w:val="center"/>
        </w:trPr>
        <w:tc>
          <w:tcPr>
            <w:tcW w:w="1440" w:type="dxa"/>
            <w:vAlign w:val="center"/>
          </w:tcPr>
          <w:p w14:paraId="23044C80" w14:textId="77777777" w:rsidR="00B03962" w:rsidRDefault="00000000">
            <w:pPr>
              <w:jc w:val="center"/>
            </w:pPr>
            <w:r>
              <w:rPr>
                <w:sz w:val="18"/>
              </w:rPr>
              <w:t>MS</w:t>
            </w:r>
          </w:p>
        </w:tc>
        <w:tc>
          <w:tcPr>
            <w:tcW w:w="1440" w:type="dxa"/>
            <w:vAlign w:val="center"/>
          </w:tcPr>
          <w:p w14:paraId="76F79E7E" w14:textId="77777777" w:rsidR="00B03962" w:rsidRDefault="00000000">
            <w:pPr>
              <w:jc w:val="center"/>
            </w:pPr>
            <w:r>
              <w:rPr>
                <w:sz w:val="18"/>
              </w:rPr>
              <w:t>Elite Test 1: 70 + 69 Rate</w:t>
            </w:r>
          </w:p>
        </w:tc>
        <w:tc>
          <w:tcPr>
            <w:tcW w:w="1440" w:type="dxa"/>
            <w:vAlign w:val="center"/>
          </w:tcPr>
          <w:p w14:paraId="1488395E" w14:textId="77777777" w:rsidR="00B03962" w:rsidRDefault="00000000">
            <w:pPr>
              <w:jc w:val="center"/>
            </w:pPr>
            <w:r>
              <w:rPr>
                <w:sz w:val="18"/>
              </w:rPr>
              <w:t>17</w:t>
            </w:r>
          </w:p>
        </w:tc>
        <w:tc>
          <w:tcPr>
            <w:tcW w:w="1440" w:type="dxa"/>
            <w:vAlign w:val="center"/>
          </w:tcPr>
          <w:p w14:paraId="490D8CB6" w14:textId="77777777" w:rsidR="00B03962" w:rsidRDefault="00000000">
            <w:pPr>
              <w:jc w:val="center"/>
            </w:pPr>
            <w:r>
              <w:rPr>
                <w:sz w:val="18"/>
              </w:rPr>
              <w:t>25</w:t>
            </w:r>
          </w:p>
        </w:tc>
        <w:tc>
          <w:tcPr>
            <w:tcW w:w="1440" w:type="dxa"/>
            <w:vAlign w:val="center"/>
          </w:tcPr>
          <w:p w14:paraId="27DBF97C" w14:textId="77777777" w:rsidR="00B03962" w:rsidRDefault="00000000">
            <w:pPr>
              <w:jc w:val="center"/>
            </w:pPr>
            <w:r>
              <w:rPr>
                <w:sz w:val="18"/>
              </w:rPr>
              <w:t>2</w:t>
            </w:r>
          </w:p>
        </w:tc>
        <w:tc>
          <w:tcPr>
            <w:tcW w:w="1440" w:type="dxa"/>
            <w:vAlign w:val="center"/>
          </w:tcPr>
          <w:p w14:paraId="3CFEDBF2" w14:textId="77777777" w:rsidR="00B03962" w:rsidRDefault="00000000">
            <w:pPr>
              <w:jc w:val="center"/>
            </w:pPr>
            <w:r>
              <w:rPr>
                <w:sz w:val="18"/>
              </w:rPr>
              <w:t>0</w:t>
            </w:r>
          </w:p>
        </w:tc>
        <w:tc>
          <w:tcPr>
            <w:tcW w:w="1440" w:type="dxa"/>
            <w:vAlign w:val="center"/>
          </w:tcPr>
          <w:p w14:paraId="18489AD9" w14:textId="77777777" w:rsidR="00B03962" w:rsidRDefault="00000000">
            <w:pPr>
              <w:jc w:val="center"/>
            </w:pPr>
            <w:r>
              <w:rPr>
                <w:sz w:val="18"/>
              </w:rPr>
              <w:t>PCGS</w:t>
            </w:r>
          </w:p>
        </w:tc>
      </w:tr>
      <w:tr w:rsidR="00B03962" w14:paraId="2C04614B" w14:textId="77777777">
        <w:trPr>
          <w:jc w:val="center"/>
        </w:trPr>
        <w:tc>
          <w:tcPr>
            <w:tcW w:w="1440" w:type="dxa"/>
            <w:vAlign w:val="center"/>
          </w:tcPr>
          <w:p w14:paraId="43B0D18A" w14:textId="77777777" w:rsidR="00B03962" w:rsidRDefault="00000000">
            <w:pPr>
              <w:jc w:val="center"/>
            </w:pPr>
            <w:r>
              <w:rPr>
                <w:sz w:val="18"/>
              </w:rPr>
              <w:lastRenderedPageBreak/>
              <w:t>MS</w:t>
            </w:r>
          </w:p>
        </w:tc>
        <w:tc>
          <w:tcPr>
            <w:tcW w:w="1440" w:type="dxa"/>
            <w:vAlign w:val="center"/>
          </w:tcPr>
          <w:p w14:paraId="716382E8" w14:textId="77777777" w:rsidR="00B03962" w:rsidRDefault="00000000">
            <w:pPr>
              <w:jc w:val="center"/>
            </w:pPr>
            <w:r>
              <w:rPr>
                <w:sz w:val="18"/>
              </w:rPr>
              <w:t>Elite Test 2: 70 + 69 + 68 Rate</w:t>
            </w:r>
          </w:p>
        </w:tc>
        <w:tc>
          <w:tcPr>
            <w:tcW w:w="1440" w:type="dxa"/>
            <w:vAlign w:val="center"/>
          </w:tcPr>
          <w:p w14:paraId="11A1EE14" w14:textId="77777777" w:rsidR="00B03962" w:rsidRDefault="00000000">
            <w:pPr>
              <w:jc w:val="center"/>
            </w:pPr>
            <w:r>
              <w:rPr>
                <w:sz w:val="18"/>
              </w:rPr>
              <w:t>24</w:t>
            </w:r>
          </w:p>
        </w:tc>
        <w:tc>
          <w:tcPr>
            <w:tcW w:w="1440" w:type="dxa"/>
            <w:vAlign w:val="center"/>
          </w:tcPr>
          <w:p w14:paraId="0C37290B" w14:textId="77777777" w:rsidR="00B03962" w:rsidRDefault="00000000">
            <w:pPr>
              <w:jc w:val="center"/>
            </w:pPr>
            <w:r>
              <w:rPr>
                <w:sz w:val="18"/>
              </w:rPr>
              <w:t>20</w:t>
            </w:r>
          </w:p>
        </w:tc>
        <w:tc>
          <w:tcPr>
            <w:tcW w:w="1440" w:type="dxa"/>
            <w:vAlign w:val="center"/>
          </w:tcPr>
          <w:p w14:paraId="3B2E522E" w14:textId="77777777" w:rsidR="00B03962" w:rsidRDefault="00000000">
            <w:pPr>
              <w:jc w:val="center"/>
            </w:pPr>
            <w:r>
              <w:rPr>
                <w:sz w:val="18"/>
              </w:rPr>
              <w:t>0</w:t>
            </w:r>
          </w:p>
        </w:tc>
        <w:tc>
          <w:tcPr>
            <w:tcW w:w="1440" w:type="dxa"/>
            <w:vAlign w:val="center"/>
          </w:tcPr>
          <w:p w14:paraId="7B13779D" w14:textId="77777777" w:rsidR="00B03962" w:rsidRDefault="00000000">
            <w:pPr>
              <w:jc w:val="center"/>
            </w:pPr>
            <w:r>
              <w:rPr>
                <w:sz w:val="18"/>
              </w:rPr>
              <w:t>0</w:t>
            </w:r>
          </w:p>
        </w:tc>
        <w:tc>
          <w:tcPr>
            <w:tcW w:w="1440" w:type="dxa"/>
            <w:vAlign w:val="center"/>
          </w:tcPr>
          <w:p w14:paraId="34E0B820" w14:textId="77777777" w:rsidR="00B03962" w:rsidRDefault="00000000">
            <w:pPr>
              <w:jc w:val="center"/>
            </w:pPr>
            <w:r>
              <w:rPr>
                <w:sz w:val="18"/>
              </w:rPr>
              <w:t>NGC</w:t>
            </w:r>
          </w:p>
        </w:tc>
      </w:tr>
      <w:tr w:rsidR="00B03962" w14:paraId="25A79048" w14:textId="77777777">
        <w:trPr>
          <w:jc w:val="center"/>
        </w:trPr>
        <w:tc>
          <w:tcPr>
            <w:tcW w:w="1440" w:type="dxa"/>
            <w:vAlign w:val="center"/>
          </w:tcPr>
          <w:p w14:paraId="3F154087" w14:textId="77777777" w:rsidR="00B03962" w:rsidRDefault="00000000">
            <w:pPr>
              <w:jc w:val="center"/>
            </w:pPr>
            <w:r>
              <w:rPr>
                <w:sz w:val="18"/>
              </w:rPr>
              <w:t>Proof</w:t>
            </w:r>
          </w:p>
        </w:tc>
        <w:tc>
          <w:tcPr>
            <w:tcW w:w="1440" w:type="dxa"/>
            <w:vAlign w:val="center"/>
          </w:tcPr>
          <w:p w14:paraId="2D59636B" w14:textId="77777777" w:rsidR="00B03962" w:rsidRDefault="00000000">
            <w:pPr>
              <w:jc w:val="center"/>
            </w:pPr>
            <w:r>
              <w:rPr>
                <w:sz w:val="18"/>
              </w:rPr>
              <w:t>Stage 1: Highest Grade Awarded</w:t>
            </w:r>
          </w:p>
        </w:tc>
        <w:tc>
          <w:tcPr>
            <w:tcW w:w="1440" w:type="dxa"/>
            <w:vAlign w:val="center"/>
          </w:tcPr>
          <w:p w14:paraId="5947DAAF" w14:textId="77777777" w:rsidR="00B03962" w:rsidRDefault="00000000">
            <w:pPr>
              <w:jc w:val="center"/>
            </w:pPr>
            <w:r>
              <w:rPr>
                <w:sz w:val="18"/>
              </w:rPr>
              <w:t>2</w:t>
            </w:r>
          </w:p>
        </w:tc>
        <w:tc>
          <w:tcPr>
            <w:tcW w:w="1440" w:type="dxa"/>
            <w:vAlign w:val="center"/>
          </w:tcPr>
          <w:p w14:paraId="349D4B1C" w14:textId="77777777" w:rsidR="00B03962" w:rsidRDefault="00000000">
            <w:pPr>
              <w:jc w:val="center"/>
            </w:pPr>
            <w:r>
              <w:rPr>
                <w:sz w:val="18"/>
              </w:rPr>
              <w:t>4</w:t>
            </w:r>
          </w:p>
        </w:tc>
        <w:tc>
          <w:tcPr>
            <w:tcW w:w="1440" w:type="dxa"/>
            <w:vAlign w:val="center"/>
          </w:tcPr>
          <w:p w14:paraId="11573B5B" w14:textId="77777777" w:rsidR="00B03962" w:rsidRDefault="00000000">
            <w:pPr>
              <w:jc w:val="center"/>
            </w:pPr>
            <w:r>
              <w:rPr>
                <w:sz w:val="18"/>
              </w:rPr>
              <w:t>36</w:t>
            </w:r>
          </w:p>
        </w:tc>
        <w:tc>
          <w:tcPr>
            <w:tcW w:w="1440" w:type="dxa"/>
            <w:vAlign w:val="center"/>
          </w:tcPr>
          <w:p w14:paraId="5A8CBECA" w14:textId="77777777" w:rsidR="00B03962" w:rsidRDefault="00000000">
            <w:pPr>
              <w:jc w:val="center"/>
            </w:pPr>
            <w:r>
              <w:rPr>
                <w:sz w:val="18"/>
              </w:rPr>
              <w:t>0</w:t>
            </w:r>
          </w:p>
        </w:tc>
        <w:tc>
          <w:tcPr>
            <w:tcW w:w="1440" w:type="dxa"/>
            <w:vAlign w:val="center"/>
          </w:tcPr>
          <w:p w14:paraId="64803614" w14:textId="77777777" w:rsidR="00B03962" w:rsidRDefault="00000000">
            <w:pPr>
              <w:jc w:val="center"/>
            </w:pPr>
            <w:r>
              <w:rPr>
                <w:sz w:val="18"/>
              </w:rPr>
              <w:t>PCGS</w:t>
            </w:r>
          </w:p>
        </w:tc>
      </w:tr>
      <w:tr w:rsidR="00B03962" w14:paraId="102C107A" w14:textId="77777777">
        <w:trPr>
          <w:jc w:val="center"/>
        </w:trPr>
        <w:tc>
          <w:tcPr>
            <w:tcW w:w="1440" w:type="dxa"/>
            <w:vAlign w:val="center"/>
          </w:tcPr>
          <w:p w14:paraId="2856ED07" w14:textId="77777777" w:rsidR="00B03962" w:rsidRDefault="00000000">
            <w:pPr>
              <w:jc w:val="center"/>
            </w:pPr>
            <w:r>
              <w:rPr>
                <w:sz w:val="18"/>
              </w:rPr>
              <w:t>Proof</w:t>
            </w:r>
          </w:p>
        </w:tc>
        <w:tc>
          <w:tcPr>
            <w:tcW w:w="1440" w:type="dxa"/>
            <w:vAlign w:val="center"/>
          </w:tcPr>
          <w:p w14:paraId="29CFFB56" w14:textId="77777777" w:rsidR="00B03962" w:rsidRDefault="00000000">
            <w:pPr>
              <w:jc w:val="center"/>
            </w:pPr>
            <w:r>
              <w:rPr>
                <w:sz w:val="18"/>
              </w:rPr>
              <w:t>Stage 2: Top Grade Frequency</w:t>
            </w:r>
          </w:p>
        </w:tc>
        <w:tc>
          <w:tcPr>
            <w:tcW w:w="1440" w:type="dxa"/>
            <w:vAlign w:val="center"/>
          </w:tcPr>
          <w:p w14:paraId="2AE9EB42" w14:textId="77777777" w:rsidR="00B03962" w:rsidRDefault="00000000">
            <w:pPr>
              <w:jc w:val="center"/>
            </w:pPr>
            <w:r>
              <w:rPr>
                <w:sz w:val="18"/>
              </w:rPr>
              <w:t>19</w:t>
            </w:r>
          </w:p>
        </w:tc>
        <w:tc>
          <w:tcPr>
            <w:tcW w:w="1440" w:type="dxa"/>
            <w:vAlign w:val="center"/>
          </w:tcPr>
          <w:p w14:paraId="6AF314B9" w14:textId="77777777" w:rsidR="00B03962" w:rsidRDefault="00000000">
            <w:pPr>
              <w:jc w:val="center"/>
            </w:pPr>
            <w:r>
              <w:rPr>
                <w:sz w:val="18"/>
              </w:rPr>
              <w:t>17</w:t>
            </w:r>
          </w:p>
        </w:tc>
        <w:tc>
          <w:tcPr>
            <w:tcW w:w="1440" w:type="dxa"/>
            <w:vAlign w:val="center"/>
          </w:tcPr>
          <w:p w14:paraId="0A6EDD92" w14:textId="77777777" w:rsidR="00B03962" w:rsidRDefault="00000000">
            <w:pPr>
              <w:jc w:val="center"/>
            </w:pPr>
            <w:r>
              <w:rPr>
                <w:sz w:val="18"/>
              </w:rPr>
              <w:t>0</w:t>
            </w:r>
          </w:p>
        </w:tc>
        <w:tc>
          <w:tcPr>
            <w:tcW w:w="1440" w:type="dxa"/>
            <w:vAlign w:val="center"/>
          </w:tcPr>
          <w:p w14:paraId="5A36CDC7" w14:textId="77777777" w:rsidR="00B03962" w:rsidRDefault="00000000">
            <w:pPr>
              <w:jc w:val="center"/>
            </w:pPr>
            <w:r>
              <w:rPr>
                <w:sz w:val="18"/>
              </w:rPr>
              <w:t>6</w:t>
            </w:r>
          </w:p>
        </w:tc>
        <w:tc>
          <w:tcPr>
            <w:tcW w:w="1440" w:type="dxa"/>
            <w:vAlign w:val="center"/>
          </w:tcPr>
          <w:p w14:paraId="03813DCA" w14:textId="77777777" w:rsidR="00B03962" w:rsidRDefault="00000000">
            <w:pPr>
              <w:jc w:val="center"/>
            </w:pPr>
            <w:r>
              <w:rPr>
                <w:sz w:val="18"/>
              </w:rPr>
              <w:t>NGC</w:t>
            </w:r>
          </w:p>
        </w:tc>
      </w:tr>
      <w:tr w:rsidR="00B03962" w14:paraId="2BA9859E" w14:textId="77777777">
        <w:trPr>
          <w:jc w:val="center"/>
        </w:trPr>
        <w:tc>
          <w:tcPr>
            <w:tcW w:w="1440" w:type="dxa"/>
            <w:vAlign w:val="center"/>
          </w:tcPr>
          <w:p w14:paraId="0580E49A" w14:textId="77777777" w:rsidR="00B03962" w:rsidRDefault="00000000">
            <w:pPr>
              <w:jc w:val="center"/>
            </w:pPr>
            <w:r>
              <w:rPr>
                <w:sz w:val="18"/>
              </w:rPr>
              <w:t>Proof</w:t>
            </w:r>
          </w:p>
        </w:tc>
        <w:tc>
          <w:tcPr>
            <w:tcW w:w="1440" w:type="dxa"/>
            <w:vAlign w:val="center"/>
          </w:tcPr>
          <w:p w14:paraId="3CCE97FA" w14:textId="77777777" w:rsidR="00B03962" w:rsidRDefault="00000000">
            <w:pPr>
              <w:jc w:val="center"/>
            </w:pPr>
            <w:r>
              <w:rPr>
                <w:sz w:val="18"/>
              </w:rPr>
              <w:t>Elite Test 1: 70 + 69 Rate</w:t>
            </w:r>
          </w:p>
        </w:tc>
        <w:tc>
          <w:tcPr>
            <w:tcW w:w="1440" w:type="dxa"/>
            <w:vAlign w:val="center"/>
          </w:tcPr>
          <w:p w14:paraId="5CA915DB" w14:textId="77777777" w:rsidR="00B03962" w:rsidRDefault="00000000">
            <w:pPr>
              <w:jc w:val="center"/>
            </w:pPr>
            <w:r>
              <w:rPr>
                <w:sz w:val="18"/>
              </w:rPr>
              <w:t>17</w:t>
            </w:r>
          </w:p>
        </w:tc>
        <w:tc>
          <w:tcPr>
            <w:tcW w:w="1440" w:type="dxa"/>
            <w:vAlign w:val="center"/>
          </w:tcPr>
          <w:p w14:paraId="5DB849B3" w14:textId="77777777" w:rsidR="00B03962" w:rsidRDefault="00000000">
            <w:pPr>
              <w:jc w:val="center"/>
            </w:pPr>
            <w:r>
              <w:rPr>
                <w:sz w:val="18"/>
              </w:rPr>
              <w:t>24</w:t>
            </w:r>
          </w:p>
        </w:tc>
        <w:tc>
          <w:tcPr>
            <w:tcW w:w="1440" w:type="dxa"/>
            <w:vAlign w:val="center"/>
          </w:tcPr>
          <w:p w14:paraId="01F03B63" w14:textId="77777777" w:rsidR="00B03962" w:rsidRDefault="00000000">
            <w:pPr>
              <w:jc w:val="center"/>
            </w:pPr>
            <w:r>
              <w:rPr>
                <w:sz w:val="18"/>
              </w:rPr>
              <w:t>1</w:t>
            </w:r>
          </w:p>
        </w:tc>
        <w:tc>
          <w:tcPr>
            <w:tcW w:w="1440" w:type="dxa"/>
            <w:vAlign w:val="center"/>
          </w:tcPr>
          <w:p w14:paraId="7822F2E5" w14:textId="77777777" w:rsidR="00B03962" w:rsidRDefault="00000000">
            <w:pPr>
              <w:jc w:val="center"/>
            </w:pPr>
            <w:r>
              <w:rPr>
                <w:sz w:val="18"/>
              </w:rPr>
              <w:t>0</w:t>
            </w:r>
          </w:p>
        </w:tc>
        <w:tc>
          <w:tcPr>
            <w:tcW w:w="1440" w:type="dxa"/>
            <w:vAlign w:val="center"/>
          </w:tcPr>
          <w:p w14:paraId="6FCD224B" w14:textId="77777777" w:rsidR="00B03962" w:rsidRDefault="00000000">
            <w:pPr>
              <w:jc w:val="center"/>
            </w:pPr>
            <w:r>
              <w:rPr>
                <w:sz w:val="18"/>
              </w:rPr>
              <w:t>PCGS</w:t>
            </w:r>
          </w:p>
        </w:tc>
      </w:tr>
      <w:tr w:rsidR="00B03962" w14:paraId="342914CA" w14:textId="77777777">
        <w:trPr>
          <w:jc w:val="center"/>
        </w:trPr>
        <w:tc>
          <w:tcPr>
            <w:tcW w:w="1440" w:type="dxa"/>
            <w:vAlign w:val="center"/>
          </w:tcPr>
          <w:p w14:paraId="2177C74E" w14:textId="77777777" w:rsidR="00B03962" w:rsidRDefault="00000000">
            <w:pPr>
              <w:jc w:val="center"/>
            </w:pPr>
            <w:r>
              <w:rPr>
                <w:sz w:val="18"/>
              </w:rPr>
              <w:t>Proof</w:t>
            </w:r>
          </w:p>
        </w:tc>
        <w:tc>
          <w:tcPr>
            <w:tcW w:w="1440" w:type="dxa"/>
            <w:vAlign w:val="center"/>
          </w:tcPr>
          <w:p w14:paraId="0B25CB10" w14:textId="77777777" w:rsidR="00B03962" w:rsidRDefault="00000000">
            <w:pPr>
              <w:jc w:val="center"/>
            </w:pPr>
            <w:r>
              <w:rPr>
                <w:sz w:val="18"/>
              </w:rPr>
              <w:t>Elite Test 2: 70 + 69 + 68 Rate</w:t>
            </w:r>
          </w:p>
        </w:tc>
        <w:tc>
          <w:tcPr>
            <w:tcW w:w="1440" w:type="dxa"/>
            <w:vAlign w:val="center"/>
          </w:tcPr>
          <w:p w14:paraId="43EBE27B" w14:textId="77777777" w:rsidR="00B03962" w:rsidRDefault="00000000">
            <w:pPr>
              <w:jc w:val="center"/>
            </w:pPr>
            <w:r>
              <w:rPr>
                <w:sz w:val="18"/>
              </w:rPr>
              <w:t>18</w:t>
            </w:r>
          </w:p>
        </w:tc>
        <w:tc>
          <w:tcPr>
            <w:tcW w:w="1440" w:type="dxa"/>
            <w:vAlign w:val="center"/>
          </w:tcPr>
          <w:p w14:paraId="4B5C4EF7" w14:textId="77777777" w:rsidR="00B03962" w:rsidRDefault="00000000">
            <w:pPr>
              <w:jc w:val="center"/>
            </w:pPr>
            <w:r>
              <w:rPr>
                <w:sz w:val="18"/>
              </w:rPr>
              <w:t>23</w:t>
            </w:r>
          </w:p>
        </w:tc>
        <w:tc>
          <w:tcPr>
            <w:tcW w:w="1440" w:type="dxa"/>
            <w:vAlign w:val="center"/>
          </w:tcPr>
          <w:p w14:paraId="2F4E421B" w14:textId="77777777" w:rsidR="00B03962" w:rsidRDefault="00000000">
            <w:pPr>
              <w:jc w:val="center"/>
            </w:pPr>
            <w:r>
              <w:rPr>
                <w:sz w:val="18"/>
              </w:rPr>
              <w:t>1</w:t>
            </w:r>
          </w:p>
        </w:tc>
        <w:tc>
          <w:tcPr>
            <w:tcW w:w="1440" w:type="dxa"/>
            <w:vAlign w:val="center"/>
          </w:tcPr>
          <w:p w14:paraId="684AE09F" w14:textId="77777777" w:rsidR="00B03962" w:rsidRDefault="00000000">
            <w:pPr>
              <w:jc w:val="center"/>
            </w:pPr>
            <w:r>
              <w:rPr>
                <w:sz w:val="18"/>
              </w:rPr>
              <w:t>0</w:t>
            </w:r>
          </w:p>
        </w:tc>
        <w:tc>
          <w:tcPr>
            <w:tcW w:w="1440" w:type="dxa"/>
            <w:vAlign w:val="center"/>
          </w:tcPr>
          <w:p w14:paraId="1B98134C" w14:textId="77777777" w:rsidR="00B03962" w:rsidRDefault="00000000">
            <w:pPr>
              <w:jc w:val="center"/>
            </w:pPr>
            <w:r>
              <w:rPr>
                <w:sz w:val="18"/>
              </w:rPr>
              <w:t>PCGS</w:t>
            </w:r>
          </w:p>
        </w:tc>
      </w:tr>
    </w:tbl>
    <w:p w14:paraId="270F5C7B" w14:textId="77777777" w:rsidR="00B03962" w:rsidRDefault="00B03962"/>
    <w:p w14:paraId="135B9F05" w14:textId="77777777" w:rsidR="00B03962" w:rsidRDefault="00000000">
      <w:pPr>
        <w:pStyle w:val="Heading2"/>
      </w:pPr>
      <w:r>
        <w:t>Mint State Results</w:t>
      </w:r>
    </w:p>
    <w:p w14:paraId="3CF04F78" w14:textId="77777777" w:rsidR="00B03962" w:rsidRDefault="00000000" w:rsidP="000C17D3">
      <w:pPr>
        <w:jc w:val="both"/>
      </w:pPr>
      <w:r>
        <w:t>The Mint State results were mixed. Stage 1 favored PCGS, Stage 2 favored NGC, Elite Test 1 favored PCGS, and Elite Test 2 favored NGC. This makes the Mint State outcome highly dependent on which definition of stringency is used.</w:t>
      </w:r>
    </w:p>
    <w:p w14:paraId="6A258176" w14:textId="77777777" w:rsidR="00B03962" w:rsidRDefault="00000000" w:rsidP="000C17D3">
      <w:pPr>
        <w:jc w:val="both"/>
      </w:pPr>
      <w:r>
        <w:t>Stage 1: Highest Grade Awarded: NGC won 3 years, PCGS won 8 years, with 33 ties and 0 not applicable cases. Raw winner: PCGS.</w:t>
      </w:r>
    </w:p>
    <w:p w14:paraId="3BE48806" w14:textId="77777777" w:rsidR="00B03962" w:rsidRDefault="00000000" w:rsidP="000C17D3">
      <w:pPr>
        <w:jc w:val="both"/>
      </w:pPr>
      <w:r>
        <w:t>Stage 2: Top Grade Frequency: NGC won 20 years, PCGS won 13 years, with 0 ties and 11 not applicable cases. Raw winner: NGC.</w:t>
      </w:r>
    </w:p>
    <w:p w14:paraId="49432732" w14:textId="77777777" w:rsidR="00B03962" w:rsidRDefault="00000000" w:rsidP="000C17D3">
      <w:pPr>
        <w:jc w:val="both"/>
      </w:pPr>
      <w:r>
        <w:t>Elite Test 1: 70 + 69 Rate: NGC won 17 years, PCGS won 25 years, with 2 ties and 0 not applicable cases. Raw winner: PCGS.</w:t>
      </w:r>
    </w:p>
    <w:p w14:paraId="30437AEA" w14:textId="77777777" w:rsidR="00B03962" w:rsidRDefault="00000000" w:rsidP="000C17D3">
      <w:pPr>
        <w:jc w:val="both"/>
      </w:pPr>
      <w:r>
        <w:t>Elite Test 2: 70 + 69 + 68 Rate: NGC won 24 years, PCGS won 20 years, with 0 ties and 0 not applicable cases. Raw winner: NGC.</w:t>
      </w:r>
    </w:p>
    <w:p w14:paraId="27CF1D01" w14:textId="77777777" w:rsidR="00B03962" w:rsidRDefault="00000000" w:rsidP="000C17D3">
      <w:pPr>
        <w:jc w:val="both"/>
      </w:pPr>
      <w:r>
        <w:t>The strongest Mint State contrast is between Stage 2 and the elite-grade tests. When both services reached the same top grade, NGC more often awarded that top grade at a lower frequency. However, when the broader 70+69 and 70+69+68 elite-grade distributions were examined, PCGS became more competitive and won Elite Test 1 outright.</w:t>
      </w:r>
    </w:p>
    <w:p w14:paraId="4F987977" w14:textId="77777777" w:rsidR="00B03962" w:rsidRDefault="00000000">
      <w:pPr>
        <w:pStyle w:val="Heading2"/>
      </w:pPr>
      <w:r>
        <w:t>Proof Results</w:t>
      </w:r>
    </w:p>
    <w:p w14:paraId="2778BCB9" w14:textId="77777777" w:rsidR="00B03962" w:rsidRDefault="00000000" w:rsidP="000C17D3">
      <w:pPr>
        <w:jc w:val="both"/>
      </w:pPr>
      <w:r>
        <w:t>Proof results leaned toward PCGS overall when elite-grade distributions were examined. PCGS won Stage 1 and both elite-grade tests, while NGC narrowly won Stage 2. This means NGC was stricter only in the narrower situation where both services had already reached the same top grade and the comparison moved to top-grade frequency.</w:t>
      </w:r>
    </w:p>
    <w:p w14:paraId="5DECCDA9" w14:textId="77777777" w:rsidR="00B03962" w:rsidRDefault="00000000" w:rsidP="000C17D3">
      <w:pPr>
        <w:jc w:val="both"/>
      </w:pPr>
      <w:r>
        <w:t>Stage 1: Highest Grade Awarded: NGC won 2 years, PCGS won 4 years, with 36 ties and 0 not applicable cases. Raw winner: PCGS.</w:t>
      </w:r>
    </w:p>
    <w:p w14:paraId="609ABF08" w14:textId="77777777" w:rsidR="00B03962" w:rsidRDefault="00000000" w:rsidP="000C17D3">
      <w:pPr>
        <w:jc w:val="both"/>
      </w:pPr>
      <w:r>
        <w:t>Stage 2: Top Grade Frequency: NGC won 19 years, PCGS won 17 years, with 0 ties and 6 not applicable cases. Raw winner: NGC.</w:t>
      </w:r>
    </w:p>
    <w:p w14:paraId="2B9F92AA" w14:textId="77777777" w:rsidR="00B03962" w:rsidRDefault="00000000" w:rsidP="000C17D3">
      <w:pPr>
        <w:jc w:val="both"/>
      </w:pPr>
      <w:r>
        <w:t>Elite Test 1: 70 + 69 Rate: NGC won 17 years, PCGS won 24 years, with 1 ties and 0 not applicable cases. Raw winner: PCGS.</w:t>
      </w:r>
    </w:p>
    <w:p w14:paraId="23CA47CB" w14:textId="77777777" w:rsidR="00B03962" w:rsidRDefault="00000000" w:rsidP="000C17D3">
      <w:pPr>
        <w:jc w:val="both"/>
      </w:pPr>
      <w:r>
        <w:lastRenderedPageBreak/>
        <w:t>Elite Test 2: 70 + 69 + 68 Rate: NGC won 18 years, PCGS won 23 years, with 1 ties and 0 not applicable cases. Raw winner: PCGS.</w:t>
      </w:r>
    </w:p>
    <w:p w14:paraId="22310DE4" w14:textId="77777777" w:rsidR="00B03962" w:rsidRDefault="00000000">
      <w:r>
        <w:rPr>
          <w:b/>
        </w:rPr>
        <w:t>Table 2. Scarcity-Adjusted Win Share by Category and Test</w:t>
      </w:r>
    </w:p>
    <w:tbl>
      <w:tblPr>
        <w:tblStyle w:val="TableGrid"/>
        <w:tblW w:w="0" w:type="auto"/>
        <w:jc w:val="center"/>
        <w:tblLook w:val="04A0" w:firstRow="1" w:lastRow="0" w:firstColumn="1" w:lastColumn="0" w:noHBand="0" w:noVBand="1"/>
      </w:tblPr>
      <w:tblGrid>
        <w:gridCol w:w="2016"/>
        <w:gridCol w:w="2016"/>
        <w:gridCol w:w="2016"/>
        <w:gridCol w:w="2016"/>
        <w:gridCol w:w="2016"/>
      </w:tblGrid>
      <w:tr w:rsidR="00B03962" w14:paraId="371A8156" w14:textId="77777777">
        <w:trPr>
          <w:jc w:val="center"/>
        </w:trPr>
        <w:tc>
          <w:tcPr>
            <w:tcW w:w="2016" w:type="dxa"/>
            <w:shd w:val="clear" w:color="auto" w:fill="1F4E79"/>
            <w:vAlign w:val="center"/>
          </w:tcPr>
          <w:p w14:paraId="4EEEA0D2" w14:textId="77777777" w:rsidR="00B03962" w:rsidRDefault="00000000">
            <w:pPr>
              <w:jc w:val="center"/>
            </w:pPr>
            <w:r>
              <w:rPr>
                <w:b/>
                <w:color w:val="FFFFFF"/>
                <w:sz w:val="18"/>
              </w:rPr>
              <w:t>Type</w:t>
            </w:r>
          </w:p>
        </w:tc>
        <w:tc>
          <w:tcPr>
            <w:tcW w:w="2016" w:type="dxa"/>
            <w:shd w:val="clear" w:color="auto" w:fill="1F4E79"/>
            <w:vAlign w:val="center"/>
          </w:tcPr>
          <w:p w14:paraId="339C6C96" w14:textId="77777777" w:rsidR="00B03962" w:rsidRDefault="00000000">
            <w:pPr>
              <w:jc w:val="center"/>
            </w:pPr>
            <w:r>
              <w:rPr>
                <w:b/>
                <w:color w:val="FFFFFF"/>
                <w:sz w:val="18"/>
              </w:rPr>
              <w:t>Metric</w:t>
            </w:r>
          </w:p>
        </w:tc>
        <w:tc>
          <w:tcPr>
            <w:tcW w:w="2016" w:type="dxa"/>
            <w:shd w:val="clear" w:color="auto" w:fill="1F4E79"/>
            <w:vAlign w:val="center"/>
          </w:tcPr>
          <w:p w14:paraId="12FE773C" w14:textId="77777777" w:rsidR="00B03962" w:rsidRDefault="00000000">
            <w:pPr>
              <w:jc w:val="center"/>
            </w:pPr>
            <w:r>
              <w:rPr>
                <w:b/>
                <w:color w:val="FFFFFF"/>
                <w:sz w:val="18"/>
              </w:rPr>
              <w:t>NGC Scarcity Weighted Score</w:t>
            </w:r>
          </w:p>
        </w:tc>
        <w:tc>
          <w:tcPr>
            <w:tcW w:w="2016" w:type="dxa"/>
            <w:shd w:val="clear" w:color="auto" w:fill="1F4E79"/>
            <w:vAlign w:val="center"/>
          </w:tcPr>
          <w:p w14:paraId="4730E9E0" w14:textId="77777777" w:rsidR="00B03962" w:rsidRDefault="00000000">
            <w:pPr>
              <w:jc w:val="center"/>
            </w:pPr>
            <w:r>
              <w:rPr>
                <w:b/>
                <w:color w:val="FFFFFF"/>
                <w:sz w:val="18"/>
              </w:rPr>
              <w:t>PCGS Scarcity Weighted Score</w:t>
            </w:r>
          </w:p>
        </w:tc>
        <w:tc>
          <w:tcPr>
            <w:tcW w:w="2016" w:type="dxa"/>
            <w:shd w:val="clear" w:color="auto" w:fill="1F4E79"/>
            <w:vAlign w:val="center"/>
          </w:tcPr>
          <w:p w14:paraId="3A890F3E" w14:textId="77777777" w:rsidR="00B03962" w:rsidRDefault="00000000">
            <w:pPr>
              <w:jc w:val="center"/>
            </w:pPr>
            <w:r>
              <w:rPr>
                <w:b/>
                <w:color w:val="FFFFFF"/>
                <w:sz w:val="18"/>
              </w:rPr>
              <w:t>Scarcity-Adjusted Winner</w:t>
            </w:r>
          </w:p>
        </w:tc>
      </w:tr>
      <w:tr w:rsidR="00B03962" w14:paraId="0DE3B2EC" w14:textId="77777777">
        <w:trPr>
          <w:jc w:val="center"/>
        </w:trPr>
        <w:tc>
          <w:tcPr>
            <w:tcW w:w="2016" w:type="dxa"/>
            <w:vAlign w:val="center"/>
          </w:tcPr>
          <w:p w14:paraId="0EE0827B" w14:textId="77777777" w:rsidR="00B03962" w:rsidRDefault="00000000">
            <w:pPr>
              <w:jc w:val="center"/>
            </w:pPr>
            <w:r>
              <w:rPr>
                <w:sz w:val="18"/>
              </w:rPr>
              <w:t>MS</w:t>
            </w:r>
          </w:p>
        </w:tc>
        <w:tc>
          <w:tcPr>
            <w:tcW w:w="2016" w:type="dxa"/>
            <w:vAlign w:val="center"/>
          </w:tcPr>
          <w:p w14:paraId="55FA720A" w14:textId="77777777" w:rsidR="00B03962" w:rsidRDefault="00000000">
            <w:pPr>
              <w:jc w:val="center"/>
            </w:pPr>
            <w:r>
              <w:rPr>
                <w:sz w:val="18"/>
              </w:rPr>
              <w:t>Stage 1: Highest Grade Awarded</w:t>
            </w:r>
          </w:p>
        </w:tc>
        <w:tc>
          <w:tcPr>
            <w:tcW w:w="2016" w:type="dxa"/>
            <w:vAlign w:val="center"/>
          </w:tcPr>
          <w:p w14:paraId="03F5BCCF" w14:textId="77777777" w:rsidR="00B03962" w:rsidRDefault="00000000">
            <w:pPr>
              <w:jc w:val="center"/>
            </w:pPr>
            <w:r>
              <w:rPr>
                <w:sz w:val="18"/>
              </w:rPr>
              <w:t>25.5%</w:t>
            </w:r>
          </w:p>
        </w:tc>
        <w:tc>
          <w:tcPr>
            <w:tcW w:w="2016" w:type="dxa"/>
            <w:vAlign w:val="center"/>
          </w:tcPr>
          <w:p w14:paraId="0558F625" w14:textId="77777777" w:rsidR="00B03962" w:rsidRDefault="00000000">
            <w:pPr>
              <w:jc w:val="center"/>
            </w:pPr>
            <w:r>
              <w:rPr>
                <w:sz w:val="18"/>
              </w:rPr>
              <w:t>74.5%</w:t>
            </w:r>
          </w:p>
        </w:tc>
        <w:tc>
          <w:tcPr>
            <w:tcW w:w="2016" w:type="dxa"/>
            <w:vAlign w:val="center"/>
          </w:tcPr>
          <w:p w14:paraId="40E78B9C" w14:textId="77777777" w:rsidR="00B03962" w:rsidRDefault="00000000">
            <w:pPr>
              <w:jc w:val="center"/>
            </w:pPr>
            <w:r>
              <w:rPr>
                <w:sz w:val="18"/>
              </w:rPr>
              <w:t>PCGS</w:t>
            </w:r>
          </w:p>
        </w:tc>
      </w:tr>
      <w:tr w:rsidR="00B03962" w14:paraId="754D2268" w14:textId="77777777">
        <w:trPr>
          <w:jc w:val="center"/>
        </w:trPr>
        <w:tc>
          <w:tcPr>
            <w:tcW w:w="2016" w:type="dxa"/>
            <w:vAlign w:val="center"/>
          </w:tcPr>
          <w:p w14:paraId="7353B3A4" w14:textId="77777777" w:rsidR="00B03962" w:rsidRDefault="00000000">
            <w:pPr>
              <w:jc w:val="center"/>
            </w:pPr>
            <w:r>
              <w:rPr>
                <w:sz w:val="18"/>
              </w:rPr>
              <w:t>MS</w:t>
            </w:r>
          </w:p>
        </w:tc>
        <w:tc>
          <w:tcPr>
            <w:tcW w:w="2016" w:type="dxa"/>
            <w:vAlign w:val="center"/>
          </w:tcPr>
          <w:p w14:paraId="6D1F8559" w14:textId="77777777" w:rsidR="00B03962" w:rsidRDefault="00000000">
            <w:pPr>
              <w:jc w:val="center"/>
            </w:pPr>
            <w:r>
              <w:rPr>
                <w:sz w:val="18"/>
              </w:rPr>
              <w:t>Stage 2: Top Grade Frequency</w:t>
            </w:r>
          </w:p>
        </w:tc>
        <w:tc>
          <w:tcPr>
            <w:tcW w:w="2016" w:type="dxa"/>
            <w:vAlign w:val="center"/>
          </w:tcPr>
          <w:p w14:paraId="6D4BA163" w14:textId="77777777" w:rsidR="00B03962" w:rsidRDefault="00000000">
            <w:pPr>
              <w:jc w:val="center"/>
            </w:pPr>
            <w:r>
              <w:rPr>
                <w:sz w:val="18"/>
              </w:rPr>
              <w:t>48.5%</w:t>
            </w:r>
          </w:p>
        </w:tc>
        <w:tc>
          <w:tcPr>
            <w:tcW w:w="2016" w:type="dxa"/>
            <w:vAlign w:val="center"/>
          </w:tcPr>
          <w:p w14:paraId="097B4F20" w14:textId="77777777" w:rsidR="00B03962" w:rsidRDefault="00000000">
            <w:pPr>
              <w:jc w:val="center"/>
            </w:pPr>
            <w:r>
              <w:rPr>
                <w:sz w:val="18"/>
              </w:rPr>
              <w:t>51.5%</w:t>
            </w:r>
          </w:p>
        </w:tc>
        <w:tc>
          <w:tcPr>
            <w:tcW w:w="2016" w:type="dxa"/>
            <w:vAlign w:val="center"/>
          </w:tcPr>
          <w:p w14:paraId="5A97315A" w14:textId="77777777" w:rsidR="00B03962" w:rsidRDefault="00000000">
            <w:pPr>
              <w:jc w:val="center"/>
            </w:pPr>
            <w:r>
              <w:rPr>
                <w:sz w:val="18"/>
              </w:rPr>
              <w:t>PCGS</w:t>
            </w:r>
          </w:p>
        </w:tc>
      </w:tr>
      <w:tr w:rsidR="00B03962" w14:paraId="3FD165AD" w14:textId="77777777">
        <w:trPr>
          <w:jc w:val="center"/>
        </w:trPr>
        <w:tc>
          <w:tcPr>
            <w:tcW w:w="2016" w:type="dxa"/>
            <w:vAlign w:val="center"/>
          </w:tcPr>
          <w:p w14:paraId="2B2DF262" w14:textId="77777777" w:rsidR="00B03962" w:rsidRDefault="00000000">
            <w:pPr>
              <w:jc w:val="center"/>
            </w:pPr>
            <w:r>
              <w:rPr>
                <w:sz w:val="18"/>
              </w:rPr>
              <w:t>MS</w:t>
            </w:r>
          </w:p>
        </w:tc>
        <w:tc>
          <w:tcPr>
            <w:tcW w:w="2016" w:type="dxa"/>
            <w:vAlign w:val="center"/>
          </w:tcPr>
          <w:p w14:paraId="1CB86428" w14:textId="77777777" w:rsidR="00B03962" w:rsidRDefault="00000000">
            <w:pPr>
              <w:jc w:val="center"/>
            </w:pPr>
            <w:r>
              <w:rPr>
                <w:sz w:val="18"/>
              </w:rPr>
              <w:t>Elite Test 1: 70 + 69 Rate</w:t>
            </w:r>
          </w:p>
        </w:tc>
        <w:tc>
          <w:tcPr>
            <w:tcW w:w="2016" w:type="dxa"/>
            <w:vAlign w:val="center"/>
          </w:tcPr>
          <w:p w14:paraId="68E7221A" w14:textId="77777777" w:rsidR="00B03962" w:rsidRDefault="00000000">
            <w:pPr>
              <w:jc w:val="center"/>
            </w:pPr>
            <w:r>
              <w:rPr>
                <w:sz w:val="18"/>
              </w:rPr>
              <w:t>36.0%</w:t>
            </w:r>
          </w:p>
        </w:tc>
        <w:tc>
          <w:tcPr>
            <w:tcW w:w="2016" w:type="dxa"/>
            <w:vAlign w:val="center"/>
          </w:tcPr>
          <w:p w14:paraId="06143BE8" w14:textId="77777777" w:rsidR="00B03962" w:rsidRDefault="00000000">
            <w:pPr>
              <w:jc w:val="center"/>
            </w:pPr>
            <w:r>
              <w:rPr>
                <w:sz w:val="18"/>
              </w:rPr>
              <w:t>64.0%</w:t>
            </w:r>
          </w:p>
        </w:tc>
        <w:tc>
          <w:tcPr>
            <w:tcW w:w="2016" w:type="dxa"/>
            <w:vAlign w:val="center"/>
          </w:tcPr>
          <w:p w14:paraId="514ADB71" w14:textId="77777777" w:rsidR="00B03962" w:rsidRDefault="00000000">
            <w:pPr>
              <w:jc w:val="center"/>
            </w:pPr>
            <w:r>
              <w:rPr>
                <w:sz w:val="18"/>
              </w:rPr>
              <w:t>PCGS</w:t>
            </w:r>
          </w:p>
        </w:tc>
      </w:tr>
      <w:tr w:rsidR="00B03962" w14:paraId="4F0BF9EE" w14:textId="77777777">
        <w:trPr>
          <w:jc w:val="center"/>
        </w:trPr>
        <w:tc>
          <w:tcPr>
            <w:tcW w:w="2016" w:type="dxa"/>
            <w:vAlign w:val="center"/>
          </w:tcPr>
          <w:p w14:paraId="5F367FB4" w14:textId="77777777" w:rsidR="00B03962" w:rsidRDefault="00000000">
            <w:pPr>
              <w:jc w:val="center"/>
            </w:pPr>
            <w:r>
              <w:rPr>
                <w:sz w:val="18"/>
              </w:rPr>
              <w:t>MS</w:t>
            </w:r>
          </w:p>
        </w:tc>
        <w:tc>
          <w:tcPr>
            <w:tcW w:w="2016" w:type="dxa"/>
            <w:vAlign w:val="center"/>
          </w:tcPr>
          <w:p w14:paraId="48CDFEC5" w14:textId="77777777" w:rsidR="00B03962" w:rsidRDefault="00000000">
            <w:pPr>
              <w:jc w:val="center"/>
            </w:pPr>
            <w:r>
              <w:rPr>
                <w:sz w:val="18"/>
              </w:rPr>
              <w:t>Elite Test 2: 70 + 69 + 68 Rate</w:t>
            </w:r>
          </w:p>
        </w:tc>
        <w:tc>
          <w:tcPr>
            <w:tcW w:w="2016" w:type="dxa"/>
            <w:vAlign w:val="center"/>
          </w:tcPr>
          <w:p w14:paraId="21B3B85D" w14:textId="77777777" w:rsidR="00B03962" w:rsidRDefault="00000000">
            <w:pPr>
              <w:jc w:val="center"/>
            </w:pPr>
            <w:r>
              <w:rPr>
                <w:sz w:val="18"/>
              </w:rPr>
              <w:t>51.0%</w:t>
            </w:r>
          </w:p>
        </w:tc>
        <w:tc>
          <w:tcPr>
            <w:tcW w:w="2016" w:type="dxa"/>
            <w:vAlign w:val="center"/>
          </w:tcPr>
          <w:p w14:paraId="06B497BD" w14:textId="77777777" w:rsidR="00B03962" w:rsidRDefault="00000000">
            <w:pPr>
              <w:jc w:val="center"/>
            </w:pPr>
            <w:r>
              <w:rPr>
                <w:sz w:val="18"/>
              </w:rPr>
              <w:t>49.0%</w:t>
            </w:r>
          </w:p>
        </w:tc>
        <w:tc>
          <w:tcPr>
            <w:tcW w:w="2016" w:type="dxa"/>
            <w:vAlign w:val="center"/>
          </w:tcPr>
          <w:p w14:paraId="592DD9DE" w14:textId="77777777" w:rsidR="00B03962" w:rsidRDefault="00000000">
            <w:pPr>
              <w:jc w:val="center"/>
            </w:pPr>
            <w:r>
              <w:rPr>
                <w:sz w:val="18"/>
              </w:rPr>
              <w:t>NGC</w:t>
            </w:r>
          </w:p>
        </w:tc>
      </w:tr>
      <w:tr w:rsidR="00B03962" w14:paraId="0EBCECBD" w14:textId="77777777">
        <w:trPr>
          <w:jc w:val="center"/>
        </w:trPr>
        <w:tc>
          <w:tcPr>
            <w:tcW w:w="2016" w:type="dxa"/>
            <w:vAlign w:val="center"/>
          </w:tcPr>
          <w:p w14:paraId="198008F6" w14:textId="77777777" w:rsidR="00B03962" w:rsidRDefault="00000000">
            <w:pPr>
              <w:jc w:val="center"/>
            </w:pPr>
            <w:r>
              <w:rPr>
                <w:sz w:val="18"/>
              </w:rPr>
              <w:t>Proof</w:t>
            </w:r>
          </w:p>
        </w:tc>
        <w:tc>
          <w:tcPr>
            <w:tcW w:w="2016" w:type="dxa"/>
            <w:vAlign w:val="center"/>
          </w:tcPr>
          <w:p w14:paraId="5FE4959D" w14:textId="77777777" w:rsidR="00B03962" w:rsidRDefault="00000000">
            <w:pPr>
              <w:jc w:val="center"/>
            </w:pPr>
            <w:r>
              <w:rPr>
                <w:sz w:val="18"/>
              </w:rPr>
              <w:t>Stage 1: Highest Grade Awarded</w:t>
            </w:r>
          </w:p>
        </w:tc>
        <w:tc>
          <w:tcPr>
            <w:tcW w:w="2016" w:type="dxa"/>
            <w:vAlign w:val="center"/>
          </w:tcPr>
          <w:p w14:paraId="5F4C967A" w14:textId="77777777" w:rsidR="00B03962" w:rsidRDefault="00000000">
            <w:pPr>
              <w:jc w:val="center"/>
            </w:pPr>
            <w:r>
              <w:rPr>
                <w:sz w:val="18"/>
              </w:rPr>
              <w:t>67.7%</w:t>
            </w:r>
          </w:p>
        </w:tc>
        <w:tc>
          <w:tcPr>
            <w:tcW w:w="2016" w:type="dxa"/>
            <w:vAlign w:val="center"/>
          </w:tcPr>
          <w:p w14:paraId="1835BC7C" w14:textId="77777777" w:rsidR="00B03962" w:rsidRDefault="00000000">
            <w:pPr>
              <w:jc w:val="center"/>
            </w:pPr>
            <w:r>
              <w:rPr>
                <w:sz w:val="18"/>
              </w:rPr>
              <w:t>32.3%</w:t>
            </w:r>
          </w:p>
        </w:tc>
        <w:tc>
          <w:tcPr>
            <w:tcW w:w="2016" w:type="dxa"/>
            <w:vAlign w:val="center"/>
          </w:tcPr>
          <w:p w14:paraId="608CA5AE" w14:textId="77777777" w:rsidR="00B03962" w:rsidRDefault="00000000">
            <w:pPr>
              <w:jc w:val="center"/>
            </w:pPr>
            <w:r>
              <w:rPr>
                <w:sz w:val="18"/>
              </w:rPr>
              <w:t>NGC</w:t>
            </w:r>
          </w:p>
        </w:tc>
      </w:tr>
      <w:tr w:rsidR="00B03962" w14:paraId="248D53F1" w14:textId="77777777">
        <w:trPr>
          <w:jc w:val="center"/>
        </w:trPr>
        <w:tc>
          <w:tcPr>
            <w:tcW w:w="2016" w:type="dxa"/>
            <w:vAlign w:val="center"/>
          </w:tcPr>
          <w:p w14:paraId="00D2D10D" w14:textId="77777777" w:rsidR="00B03962" w:rsidRDefault="00000000">
            <w:pPr>
              <w:jc w:val="center"/>
            </w:pPr>
            <w:r>
              <w:rPr>
                <w:sz w:val="18"/>
              </w:rPr>
              <w:t>Proof</w:t>
            </w:r>
          </w:p>
        </w:tc>
        <w:tc>
          <w:tcPr>
            <w:tcW w:w="2016" w:type="dxa"/>
            <w:vAlign w:val="center"/>
          </w:tcPr>
          <w:p w14:paraId="32AA90A7" w14:textId="77777777" w:rsidR="00B03962" w:rsidRDefault="00000000">
            <w:pPr>
              <w:jc w:val="center"/>
            </w:pPr>
            <w:r>
              <w:rPr>
                <w:sz w:val="18"/>
              </w:rPr>
              <w:t>Stage 2: Top Grade Frequency</w:t>
            </w:r>
          </w:p>
        </w:tc>
        <w:tc>
          <w:tcPr>
            <w:tcW w:w="2016" w:type="dxa"/>
            <w:vAlign w:val="center"/>
          </w:tcPr>
          <w:p w14:paraId="547C2199" w14:textId="77777777" w:rsidR="00B03962" w:rsidRDefault="00000000">
            <w:pPr>
              <w:jc w:val="center"/>
            </w:pPr>
            <w:r>
              <w:rPr>
                <w:sz w:val="18"/>
              </w:rPr>
              <w:t>54.4%</w:t>
            </w:r>
          </w:p>
        </w:tc>
        <w:tc>
          <w:tcPr>
            <w:tcW w:w="2016" w:type="dxa"/>
            <w:vAlign w:val="center"/>
          </w:tcPr>
          <w:p w14:paraId="3921C223" w14:textId="77777777" w:rsidR="00B03962" w:rsidRDefault="00000000">
            <w:pPr>
              <w:jc w:val="center"/>
            </w:pPr>
            <w:r>
              <w:rPr>
                <w:sz w:val="18"/>
              </w:rPr>
              <w:t>45.6%</w:t>
            </w:r>
          </w:p>
        </w:tc>
        <w:tc>
          <w:tcPr>
            <w:tcW w:w="2016" w:type="dxa"/>
            <w:vAlign w:val="center"/>
          </w:tcPr>
          <w:p w14:paraId="5F2188E3" w14:textId="77777777" w:rsidR="00B03962" w:rsidRDefault="00000000">
            <w:pPr>
              <w:jc w:val="center"/>
            </w:pPr>
            <w:r>
              <w:rPr>
                <w:sz w:val="18"/>
              </w:rPr>
              <w:t>NGC</w:t>
            </w:r>
          </w:p>
        </w:tc>
      </w:tr>
      <w:tr w:rsidR="00B03962" w14:paraId="3604E1FA" w14:textId="77777777">
        <w:trPr>
          <w:jc w:val="center"/>
        </w:trPr>
        <w:tc>
          <w:tcPr>
            <w:tcW w:w="2016" w:type="dxa"/>
            <w:vAlign w:val="center"/>
          </w:tcPr>
          <w:p w14:paraId="5CDA1878" w14:textId="77777777" w:rsidR="00B03962" w:rsidRDefault="00000000">
            <w:pPr>
              <w:jc w:val="center"/>
            </w:pPr>
            <w:r>
              <w:rPr>
                <w:sz w:val="18"/>
              </w:rPr>
              <w:t>Proof</w:t>
            </w:r>
          </w:p>
        </w:tc>
        <w:tc>
          <w:tcPr>
            <w:tcW w:w="2016" w:type="dxa"/>
            <w:vAlign w:val="center"/>
          </w:tcPr>
          <w:p w14:paraId="35E99E38" w14:textId="77777777" w:rsidR="00B03962" w:rsidRDefault="00000000">
            <w:pPr>
              <w:jc w:val="center"/>
            </w:pPr>
            <w:r>
              <w:rPr>
                <w:sz w:val="18"/>
              </w:rPr>
              <w:t>Elite Test 1: 70 + 69 Rate</w:t>
            </w:r>
          </w:p>
        </w:tc>
        <w:tc>
          <w:tcPr>
            <w:tcW w:w="2016" w:type="dxa"/>
            <w:vAlign w:val="center"/>
          </w:tcPr>
          <w:p w14:paraId="5E679007" w14:textId="77777777" w:rsidR="00B03962" w:rsidRDefault="00000000">
            <w:pPr>
              <w:jc w:val="center"/>
            </w:pPr>
            <w:r>
              <w:rPr>
                <w:sz w:val="18"/>
              </w:rPr>
              <w:t>40.0%</w:t>
            </w:r>
          </w:p>
        </w:tc>
        <w:tc>
          <w:tcPr>
            <w:tcW w:w="2016" w:type="dxa"/>
            <w:vAlign w:val="center"/>
          </w:tcPr>
          <w:p w14:paraId="460D3389" w14:textId="77777777" w:rsidR="00B03962" w:rsidRDefault="00000000">
            <w:pPr>
              <w:jc w:val="center"/>
            </w:pPr>
            <w:r>
              <w:rPr>
                <w:sz w:val="18"/>
              </w:rPr>
              <w:t>60.0%</w:t>
            </w:r>
          </w:p>
        </w:tc>
        <w:tc>
          <w:tcPr>
            <w:tcW w:w="2016" w:type="dxa"/>
            <w:vAlign w:val="center"/>
          </w:tcPr>
          <w:p w14:paraId="037EE431" w14:textId="77777777" w:rsidR="00B03962" w:rsidRDefault="00000000">
            <w:pPr>
              <w:jc w:val="center"/>
            </w:pPr>
            <w:r>
              <w:rPr>
                <w:sz w:val="18"/>
              </w:rPr>
              <w:t>PCGS</w:t>
            </w:r>
          </w:p>
        </w:tc>
      </w:tr>
      <w:tr w:rsidR="00B03962" w14:paraId="4DD0DBF1" w14:textId="77777777">
        <w:trPr>
          <w:jc w:val="center"/>
        </w:trPr>
        <w:tc>
          <w:tcPr>
            <w:tcW w:w="2016" w:type="dxa"/>
            <w:vAlign w:val="center"/>
          </w:tcPr>
          <w:p w14:paraId="745DF3CE" w14:textId="77777777" w:rsidR="00B03962" w:rsidRDefault="00000000">
            <w:pPr>
              <w:jc w:val="center"/>
            </w:pPr>
            <w:r>
              <w:rPr>
                <w:sz w:val="18"/>
              </w:rPr>
              <w:t>Proof</w:t>
            </w:r>
          </w:p>
        </w:tc>
        <w:tc>
          <w:tcPr>
            <w:tcW w:w="2016" w:type="dxa"/>
            <w:vAlign w:val="center"/>
          </w:tcPr>
          <w:p w14:paraId="535F2AAF" w14:textId="77777777" w:rsidR="00B03962" w:rsidRDefault="00000000">
            <w:pPr>
              <w:jc w:val="center"/>
            </w:pPr>
            <w:r>
              <w:rPr>
                <w:sz w:val="18"/>
              </w:rPr>
              <w:t>Elite Test 2: 70 + 69 + 68 Rate</w:t>
            </w:r>
          </w:p>
        </w:tc>
        <w:tc>
          <w:tcPr>
            <w:tcW w:w="2016" w:type="dxa"/>
            <w:vAlign w:val="center"/>
          </w:tcPr>
          <w:p w14:paraId="04F5575E" w14:textId="77777777" w:rsidR="00B03962" w:rsidRDefault="00000000">
            <w:pPr>
              <w:jc w:val="center"/>
            </w:pPr>
            <w:r>
              <w:rPr>
                <w:sz w:val="18"/>
              </w:rPr>
              <w:t>41.1%</w:t>
            </w:r>
          </w:p>
        </w:tc>
        <w:tc>
          <w:tcPr>
            <w:tcW w:w="2016" w:type="dxa"/>
            <w:vAlign w:val="center"/>
          </w:tcPr>
          <w:p w14:paraId="532551D1" w14:textId="77777777" w:rsidR="00B03962" w:rsidRDefault="00000000">
            <w:pPr>
              <w:jc w:val="center"/>
            </w:pPr>
            <w:r>
              <w:rPr>
                <w:sz w:val="18"/>
              </w:rPr>
              <w:t>58.9%</w:t>
            </w:r>
          </w:p>
        </w:tc>
        <w:tc>
          <w:tcPr>
            <w:tcW w:w="2016" w:type="dxa"/>
            <w:vAlign w:val="center"/>
          </w:tcPr>
          <w:p w14:paraId="59C0A042" w14:textId="77777777" w:rsidR="00B03962" w:rsidRDefault="00000000">
            <w:pPr>
              <w:jc w:val="center"/>
            </w:pPr>
            <w:r>
              <w:rPr>
                <w:sz w:val="18"/>
              </w:rPr>
              <w:t>PCGS</w:t>
            </w:r>
          </w:p>
        </w:tc>
      </w:tr>
    </w:tbl>
    <w:p w14:paraId="60928FD4" w14:textId="77777777" w:rsidR="00B03962" w:rsidRDefault="00B03962"/>
    <w:p w14:paraId="71A4ABB4" w14:textId="77777777" w:rsidR="00B03962" w:rsidRDefault="00000000">
      <w:pPr>
        <w:pStyle w:val="Heading2"/>
      </w:pPr>
      <w:r>
        <w:t>Scarcity-Adjusted Interpretation</w:t>
      </w:r>
    </w:p>
    <w:p w14:paraId="555C039D" w14:textId="77777777" w:rsidR="00B03962" w:rsidRDefault="00000000" w:rsidP="000C17D3">
      <w:pPr>
        <w:jc w:val="both"/>
      </w:pPr>
      <w:r>
        <w:t>The scarcity-adjusted results sharpen some of the raw findings and soften others. In Mint State, PCGS strongly won Stage 1 on a scarcity-adjusted basis, with a 74.5% win share compared with 25.5% for NGC. PCGS also won Elite Test 1 with a 64.0% scarcity-adjusted win share. However, Stage 2 was nearly balanced at 51.5% PCGS versus 48.5% NGC, and Elite Test 2 was essentially even, with NGC at 50.9% and PCGS at 49.1%.</w:t>
      </w:r>
    </w:p>
    <w:p w14:paraId="4603752D" w14:textId="77777777" w:rsidR="00B03962" w:rsidRDefault="00000000" w:rsidP="000C17D3">
      <w:pPr>
        <w:jc w:val="both"/>
      </w:pPr>
      <w:r>
        <w:t>In Proof, NGC won the scarcity-adjusted Stage 1 result with 67.7% versus 32.3% for PCGS, and NGC also won Stage 2 with 54.4% versus 45.6%. However, PCGS won both elite-grade tests: 60.0% versus 40.0% in Elite Test 1, and 58.9% versus 41.1% in Elite Test 2.</w:t>
      </w:r>
    </w:p>
    <w:p w14:paraId="0DB322B5" w14:textId="77777777" w:rsidR="00B03962" w:rsidRDefault="00000000" w:rsidP="000C17D3">
      <w:pPr>
        <w:jc w:val="both"/>
      </w:pPr>
      <w:r>
        <w:t>The scarcity-adjusted analysis therefore reinforces the broader conclusion: there is no universal winner. Different definitions of stringency lead to different answers.</w:t>
      </w:r>
    </w:p>
    <w:p w14:paraId="2C4727B0" w14:textId="77777777" w:rsidR="00B03962" w:rsidRDefault="00000000">
      <w:pPr>
        <w:pStyle w:val="Heading1"/>
      </w:pPr>
      <w:r>
        <w:t>Discussion</w:t>
      </w:r>
    </w:p>
    <w:p w14:paraId="40CA4BAD" w14:textId="77777777" w:rsidR="00B03962" w:rsidRDefault="00000000" w:rsidP="000C17D3">
      <w:pPr>
        <w:jc w:val="both"/>
      </w:pPr>
      <w:r>
        <w:t>The most important finding is that grading stringency is multidimensional. A service may appear stricter when measured by the highest grade awarded, but less strict when measured by the broader distribution of elite grades.</w:t>
      </w:r>
    </w:p>
    <w:p w14:paraId="2BC6034A" w14:textId="77777777" w:rsidR="00B03962" w:rsidRDefault="00000000" w:rsidP="000C17D3">
      <w:pPr>
        <w:jc w:val="both"/>
      </w:pPr>
      <w:r>
        <w:t>For Mint State coins, PCGS won the raw Stage 1 test and Elite Test 1, while NGC won Stage 2 and Elite Test 2. On a scarcity-adjusted basis, PCGS had a strong advantage in Stage 1 and Elite Test 1, while Stage 2 and Elite Test 2 were nearly even. This suggests that PCGS may be more conservative in some top-end Mint State outcomes, but the broader picture is not one-sided.</w:t>
      </w:r>
    </w:p>
    <w:p w14:paraId="667906BF" w14:textId="77777777" w:rsidR="00B03962" w:rsidRDefault="00000000" w:rsidP="000C17D3">
      <w:pPr>
        <w:jc w:val="both"/>
      </w:pPr>
      <w:r>
        <w:t xml:space="preserve">For Proof coins, PCGS won three of the four raw tests, while NGC narrowly won Stage 2. The scarcity-adjusted proof results split the outcome: NGC won Stage 1 and Stage 2, while PCGS won both elite-grade tests. This is a </w:t>
      </w:r>
      <w:r>
        <w:lastRenderedPageBreak/>
        <w:t xml:space="preserve">useful reminder that proof grading behavior can look different depending on whether the focus is the maximum grade </w:t>
      </w:r>
      <w:proofErr w:type="gramStart"/>
      <w:r>
        <w:t>reached</w:t>
      </w:r>
      <w:proofErr w:type="gramEnd"/>
      <w:r>
        <w:t xml:space="preserve"> or the frequency of high-end grades awarded.</w:t>
      </w:r>
    </w:p>
    <w:p w14:paraId="4C04B78F" w14:textId="77777777" w:rsidR="00B03962" w:rsidRDefault="00000000" w:rsidP="000C17D3">
      <w:pPr>
        <w:jc w:val="both"/>
      </w:pPr>
      <w:r>
        <w:t>The analysis also shows why simple population comparisons can be misleading. Counting how many 70s exist is not enough. A service with a larger population may naturally have more high-grade coins, so the relevant comparison is the rate at which high grades were awarded and whether those rates persist after adjusting for population size and scarcity.</w:t>
      </w:r>
    </w:p>
    <w:p w14:paraId="6C02D18C" w14:textId="77777777" w:rsidR="00B03962" w:rsidRDefault="00000000">
      <w:pPr>
        <w:pStyle w:val="Heading1"/>
      </w:pPr>
      <w:r>
        <w:t>Limitations</w:t>
      </w:r>
    </w:p>
    <w:p w14:paraId="432DD794" w14:textId="77777777" w:rsidR="00B03962" w:rsidRDefault="00000000" w:rsidP="000C17D3">
      <w:pPr>
        <w:jc w:val="both"/>
      </w:pPr>
      <w:r>
        <w:t>This study uses population reports, which are public outcome data. Population reports do not reveal every factor that may affect the final population distribution.</w:t>
      </w:r>
    </w:p>
    <w:p w14:paraId="50B41C03" w14:textId="77777777" w:rsidR="00B03962" w:rsidRDefault="00000000">
      <w:r>
        <w:t>Important limitations include:</w:t>
      </w:r>
    </w:p>
    <w:p w14:paraId="28A3715D" w14:textId="77777777" w:rsidR="00B03962" w:rsidRDefault="00000000">
      <w:pPr>
        <w:pStyle w:val="ListBullet"/>
      </w:pPr>
      <w:r>
        <w:t>Crack-outs cannot be identified.</w:t>
      </w:r>
    </w:p>
    <w:p w14:paraId="2140C132" w14:textId="77777777" w:rsidR="00B03962" w:rsidRDefault="00000000">
      <w:pPr>
        <w:pStyle w:val="ListBullet"/>
      </w:pPr>
      <w:r>
        <w:t>Crossovers cannot be fully traced.</w:t>
      </w:r>
    </w:p>
    <w:p w14:paraId="5ABCD2BC" w14:textId="77777777" w:rsidR="00B03962" w:rsidRDefault="00000000">
      <w:pPr>
        <w:pStyle w:val="ListBullet"/>
      </w:pPr>
      <w:r>
        <w:t>Pre-screening behavior is unknown.</w:t>
      </w:r>
    </w:p>
    <w:p w14:paraId="18ED4BCB" w14:textId="77777777" w:rsidR="00B03962" w:rsidRDefault="00000000">
      <w:pPr>
        <w:pStyle w:val="ListBullet"/>
      </w:pPr>
      <w:r>
        <w:t>Different collector groups may prefer different grading services in different eras.</w:t>
      </w:r>
    </w:p>
    <w:p w14:paraId="628167E3" w14:textId="77777777" w:rsidR="00B03962" w:rsidRDefault="00000000">
      <w:pPr>
        <w:pStyle w:val="ListBullet"/>
      </w:pPr>
      <w:r>
        <w:t>Population reports measure graded outcomes, not grading correctness.</w:t>
      </w:r>
    </w:p>
    <w:p w14:paraId="197B51B3" w14:textId="77777777" w:rsidR="00B03962" w:rsidRDefault="00000000" w:rsidP="000C17D3">
      <w:pPr>
        <w:jc w:val="both"/>
      </w:pPr>
      <w:r>
        <w:t>For these reasons, the study should not be interpreted as proving that one service is objectively more accurate than the other. It measures relative grading outcomes observed in the population reports.</w:t>
      </w:r>
    </w:p>
    <w:p w14:paraId="2AF9F886" w14:textId="77777777" w:rsidR="00B03962" w:rsidRDefault="00000000">
      <w:pPr>
        <w:pStyle w:val="Heading1"/>
      </w:pPr>
      <w:r>
        <w:t>Conclusion</w:t>
      </w:r>
    </w:p>
    <w:p w14:paraId="52C004DF" w14:textId="77777777" w:rsidR="00B03962" w:rsidRDefault="00000000" w:rsidP="000C17D3">
      <w:pPr>
        <w:jc w:val="both"/>
      </w:pPr>
      <w:r>
        <w:t>The data does not support a simplistic conclusion that one grading service is universally stricter than the other across the 1-ounce silver Libertad series.</w:t>
      </w:r>
    </w:p>
    <w:p w14:paraId="2B87B0D6" w14:textId="77777777" w:rsidR="00B03962" w:rsidRDefault="00000000" w:rsidP="000C17D3">
      <w:pPr>
        <w:jc w:val="both"/>
      </w:pPr>
      <w:r>
        <w:t>Instead, the evidence indicates that grading stringency depends on which behavior is being measured. Stage 1, Stage 2, Elite Test 1, and Elite Test 2 each answer a different question. A service can win one test and lose another because the tests measure different aspects of grading behavior.</w:t>
      </w:r>
    </w:p>
    <w:p w14:paraId="0F97C2B5" w14:textId="77777777" w:rsidR="00B03962" w:rsidRDefault="00000000" w:rsidP="000C17D3">
      <w:pPr>
        <w:jc w:val="both"/>
      </w:pPr>
      <w:r>
        <w:t>Mint State results were mixed, with PCGS performing strongly in Stage 1 and Elite Test 1, while NGC performed strongly in Stage 2 and Elite Test 2. Proof results leaned toward PCGS in raw elite-grade outcomes, but the scarcity-adjusted proof results gave NGC the advantage in Stage 1 and Stage 2 while PCGS retained the advantage in both elite-grade tests.</w:t>
      </w:r>
    </w:p>
    <w:p w14:paraId="4C155FBD" w14:textId="77777777" w:rsidR="00B03962" w:rsidRDefault="00000000" w:rsidP="000C17D3">
      <w:pPr>
        <w:jc w:val="both"/>
      </w:pPr>
      <w:r>
        <w:t>The most defensible conclusion is that neither NGC nor PCGS is universally stricter. Instead, the answer depends on the grading behavior being tested: maximum grade awarded, frequency of the top grade, elite-grade distribution, or scarcity-adjusted registry relevance.</w:t>
      </w:r>
    </w:p>
    <w:p w14:paraId="6B06A229" w14:textId="77777777" w:rsidR="00B03962" w:rsidRDefault="00000000" w:rsidP="000C17D3">
      <w:pPr>
        <w:jc w:val="both"/>
      </w:pPr>
      <w:r>
        <w:t>For collectors, investors, registry competitors, and population-report researchers, the value of this study is not merely in declaring a winner. Its value is in providing a repeatable framework for measuring grading behavior with data rather than relying solely on collector folklore.</w:t>
      </w:r>
    </w:p>
    <w:p w14:paraId="7887EA30" w14:textId="77777777" w:rsidR="00B03962" w:rsidRDefault="00000000">
      <w:r>
        <w:br w:type="page"/>
      </w:r>
    </w:p>
    <w:p w14:paraId="113037D7" w14:textId="77777777" w:rsidR="00B03962" w:rsidRDefault="00000000">
      <w:pPr>
        <w:pStyle w:val="Heading1"/>
      </w:pPr>
      <w:r>
        <w:lastRenderedPageBreak/>
        <w:t>Appendix A: Notes on Interpreting the Metrics</w:t>
      </w:r>
    </w:p>
    <w:p w14:paraId="01DAE516" w14:textId="77777777" w:rsidR="00B03962" w:rsidRDefault="00000000">
      <w:pPr>
        <w:pStyle w:val="ListBullet"/>
      </w:pPr>
      <w:r>
        <w:t>Stage 1 winner: the service with the lower highest grade for that year.</w:t>
      </w:r>
    </w:p>
    <w:p w14:paraId="45933663" w14:textId="77777777" w:rsidR="00B03962" w:rsidRDefault="00000000">
      <w:pPr>
        <w:pStyle w:val="ListBullet"/>
      </w:pPr>
      <w:r>
        <w:t>Stage 2 winner: when both services reach the same top grade, the service with the lower top-grade percentage.</w:t>
      </w:r>
    </w:p>
    <w:p w14:paraId="3B9A530D" w14:textId="77777777" w:rsidR="00B03962" w:rsidRDefault="00000000">
      <w:pPr>
        <w:pStyle w:val="ListBullet"/>
      </w:pPr>
      <w:r>
        <w:t>Elite Test 1 winner: the service with the lower 70+69 percentage.</w:t>
      </w:r>
    </w:p>
    <w:p w14:paraId="2A70F776" w14:textId="77777777" w:rsidR="00B03962" w:rsidRDefault="00000000">
      <w:pPr>
        <w:pStyle w:val="ListBullet"/>
      </w:pPr>
      <w:r>
        <w:t>Elite Test 2 winner: the service with the lower 70+69+68 percentage.</w:t>
      </w:r>
    </w:p>
    <w:p w14:paraId="4AD22642" w14:textId="77777777" w:rsidR="00B03962" w:rsidRDefault="00000000">
      <w:pPr>
        <w:pStyle w:val="ListBullet"/>
      </w:pPr>
      <w:r>
        <w:t xml:space="preserve">Scarcity-adjusted win share: the share of weighted winning years after applying 1 / </w:t>
      </w:r>
      <w:proofErr w:type="gramStart"/>
      <w:r>
        <w:t>sqrt(</w:t>
      </w:r>
      <w:proofErr w:type="gramEnd"/>
      <w:r>
        <w:t>Average Population).</w:t>
      </w:r>
    </w:p>
    <w:sectPr w:rsidR="00B03962" w:rsidSect="00034616">
      <w:pgSz w:w="12240" w:h="15840"/>
      <w:pgMar w:top="1080" w:right="1080" w:bottom="1080" w:left="108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7634693">
    <w:abstractNumId w:val="8"/>
  </w:num>
  <w:num w:numId="2" w16cid:durableId="1583829214">
    <w:abstractNumId w:val="6"/>
  </w:num>
  <w:num w:numId="3" w16cid:durableId="1156605605">
    <w:abstractNumId w:val="5"/>
  </w:num>
  <w:num w:numId="4" w16cid:durableId="1598442906">
    <w:abstractNumId w:val="4"/>
  </w:num>
  <w:num w:numId="5" w16cid:durableId="1168404706">
    <w:abstractNumId w:val="7"/>
  </w:num>
  <w:num w:numId="6" w16cid:durableId="1893425126">
    <w:abstractNumId w:val="3"/>
  </w:num>
  <w:num w:numId="7" w16cid:durableId="476916047">
    <w:abstractNumId w:val="2"/>
  </w:num>
  <w:num w:numId="8" w16cid:durableId="588731894">
    <w:abstractNumId w:val="1"/>
  </w:num>
  <w:num w:numId="9" w16cid:durableId="1224022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7D3"/>
    <w:rsid w:val="0015074B"/>
    <w:rsid w:val="00256237"/>
    <w:rsid w:val="0029639D"/>
    <w:rsid w:val="00326F90"/>
    <w:rsid w:val="00442BA0"/>
    <w:rsid w:val="00700919"/>
    <w:rsid w:val="008D350F"/>
    <w:rsid w:val="00AA1D8D"/>
    <w:rsid w:val="00B03962"/>
    <w:rsid w:val="00B47730"/>
    <w:rsid w:val="00B72E1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0C873"/>
  <w14:defaultImageDpi w14:val="300"/>
  <w15:docId w15:val="{8092DF95-EE91-A149-9887-DA73CD62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2346</Words>
  <Characters>12084</Characters>
  <Application>Microsoft Office Word</Application>
  <DocSecurity>0</DocSecurity>
  <Lines>318</Lines>
  <Paragraphs>240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Alberto Rodriguez</cp:lastModifiedBy>
  <cp:revision>4</cp:revision>
  <dcterms:created xsi:type="dcterms:W3CDTF">2013-12-23T23:15:00Z</dcterms:created>
  <dcterms:modified xsi:type="dcterms:W3CDTF">2026-08-06T19:39:00Z</dcterms:modified>
  <cp:category/>
</cp:coreProperties>
</file>